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560" w:firstLineChars="200"/>
        <w:jc w:val="left"/>
        <w:rPr>
          <w:sz w:val="28"/>
          <w:highlight w:val="none"/>
        </w:rPr>
      </w:pPr>
      <w:bookmarkStart w:id="0" w:name="_Toc212523893"/>
    </w:p>
    <w:p>
      <w:pPr>
        <w:adjustRightInd w:val="0"/>
        <w:snapToGrid w:val="0"/>
        <w:spacing w:line="360" w:lineRule="auto"/>
        <w:ind w:firstLine="560" w:firstLineChars="200"/>
        <w:jc w:val="left"/>
        <w:rPr>
          <w:sz w:val="28"/>
          <w:highlight w:val="none"/>
        </w:rPr>
      </w:pPr>
    </w:p>
    <w:p>
      <w:pPr>
        <w:adjustRightInd w:val="0"/>
        <w:snapToGrid w:val="0"/>
        <w:spacing w:line="360" w:lineRule="auto"/>
        <w:ind w:firstLine="560" w:firstLineChars="200"/>
        <w:jc w:val="left"/>
        <w:rPr>
          <w:sz w:val="28"/>
          <w:highlight w:val="none"/>
        </w:rPr>
      </w:pPr>
    </w:p>
    <w:p>
      <w:pPr>
        <w:adjustRightInd w:val="0"/>
        <w:snapToGrid w:val="0"/>
        <w:spacing w:line="360" w:lineRule="auto"/>
        <w:ind w:firstLine="560" w:firstLineChars="200"/>
        <w:jc w:val="left"/>
        <w:rPr>
          <w:sz w:val="28"/>
          <w:highlight w:val="none"/>
        </w:rPr>
      </w:pPr>
    </w:p>
    <w:p>
      <w:pPr>
        <w:adjustRightInd w:val="0"/>
        <w:snapToGrid w:val="0"/>
        <w:spacing w:line="360" w:lineRule="auto"/>
        <w:ind w:firstLine="640" w:firstLineChars="200"/>
        <w:jc w:val="center"/>
        <w:rPr>
          <w:b/>
          <w:sz w:val="32"/>
          <w:szCs w:val="32"/>
          <w:highlight w:val="none"/>
        </w:rPr>
      </w:pPr>
      <w:r>
        <w:rPr>
          <w:rFonts w:hint="eastAsia"/>
          <w:b/>
          <w:sz w:val="32"/>
          <w:szCs w:val="32"/>
          <w:highlight w:val="none"/>
        </w:rPr>
        <w:t>白云区国铁棠溪站 AB2805001 地块项目</w:t>
      </w:r>
    </w:p>
    <w:p>
      <w:pPr>
        <w:adjustRightInd w:val="0"/>
        <w:snapToGrid w:val="0"/>
        <w:spacing w:line="360" w:lineRule="auto"/>
        <w:rPr>
          <w:b/>
          <w:sz w:val="32"/>
          <w:szCs w:val="32"/>
          <w:highlight w:val="none"/>
        </w:rPr>
      </w:pPr>
      <w:bookmarkStart w:id="280" w:name="_GoBack"/>
      <w:bookmarkEnd w:id="280"/>
    </w:p>
    <w:p>
      <w:pPr>
        <w:adjustRightInd w:val="0"/>
        <w:snapToGrid w:val="0"/>
        <w:spacing w:line="360" w:lineRule="auto"/>
        <w:ind w:firstLine="640" w:firstLineChars="200"/>
        <w:jc w:val="center"/>
        <w:rPr>
          <w:b/>
          <w:sz w:val="32"/>
          <w:szCs w:val="32"/>
          <w:highlight w:val="none"/>
        </w:rPr>
      </w:pPr>
      <w:r>
        <w:rPr>
          <w:rFonts w:hint="eastAsia"/>
          <w:b/>
          <w:sz w:val="32"/>
          <w:szCs w:val="32"/>
          <w:highlight w:val="none"/>
        </w:rPr>
        <w:t>扩初施工图设计任务书</w:t>
      </w: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r>
        <w:rPr>
          <w:b/>
          <w:sz w:val="32"/>
          <w:szCs w:val="32"/>
          <w:highlight w:val="none"/>
        </w:rPr>
        <w:br w:type="textWrapping"/>
      </w: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640" w:firstLineChars="200"/>
        <w:jc w:val="center"/>
        <w:rPr>
          <w:b/>
          <w:sz w:val="32"/>
          <w:szCs w:val="32"/>
          <w:highlight w:val="none"/>
        </w:rPr>
      </w:pPr>
    </w:p>
    <w:p>
      <w:pPr>
        <w:adjustRightInd w:val="0"/>
        <w:snapToGrid w:val="0"/>
        <w:spacing w:line="360" w:lineRule="auto"/>
        <w:ind w:firstLine="560" w:firstLineChars="200"/>
        <w:jc w:val="left"/>
        <w:rPr>
          <w:sz w:val="28"/>
          <w:highlight w:val="none"/>
        </w:rPr>
      </w:pPr>
    </w:p>
    <w:p>
      <w:pPr>
        <w:pStyle w:val="4"/>
        <w:numPr>
          <w:ilvl w:val="0"/>
          <w:numId w:val="0"/>
        </w:numPr>
        <w:adjustRightInd w:val="0"/>
        <w:snapToGrid w:val="0"/>
        <w:spacing w:before="0" w:after="0" w:line="240" w:lineRule="auto"/>
        <w:rPr>
          <w:rFonts w:eastAsiaTheme="minorEastAsia"/>
          <w:sz w:val="28"/>
          <w:highlight w:val="none"/>
        </w:rPr>
      </w:pPr>
      <w:r>
        <w:rPr>
          <w:highlight w:val="none"/>
        </w:rPr>
        <w:br w:type="page"/>
      </w:r>
      <w:bookmarkStart w:id="1" w:name="_Toc212525108"/>
      <w:bookmarkStart w:id="2" w:name="_Toc61006842"/>
      <w:bookmarkStart w:id="3" w:name="_Toc342057058"/>
      <w:r>
        <w:rPr>
          <w:rFonts w:eastAsiaTheme="minorEastAsia"/>
          <w:sz w:val="28"/>
          <w:highlight w:val="none"/>
        </w:rPr>
        <w:fldChar w:fldCharType="begin"/>
      </w:r>
      <w:r>
        <w:rPr>
          <w:rFonts w:eastAsiaTheme="minorEastAsia"/>
          <w:sz w:val="28"/>
          <w:highlight w:val="none"/>
        </w:rPr>
        <w:instrText xml:space="preserve"> TOC \o "1-3" \h \z \u </w:instrText>
      </w:r>
      <w:r>
        <w:rPr>
          <w:rFonts w:eastAsiaTheme="minorEastAsia"/>
          <w:sz w:val="28"/>
          <w:highlight w:val="none"/>
        </w:rPr>
        <w:fldChar w:fldCharType="separate"/>
      </w:r>
    </w:p>
    <w:p>
      <w:pPr>
        <w:pStyle w:val="16"/>
        <w:adjustRightInd w:val="0"/>
        <w:snapToGrid w:val="0"/>
        <w:jc w:val="left"/>
        <w:rPr>
          <w:rFonts w:eastAsiaTheme="minorEastAsia" w:cstheme="minorBidi"/>
          <w:b w:val="0"/>
          <w:bCs w:val="0"/>
          <w:spacing w:val="0"/>
          <w:sz w:val="28"/>
          <w:szCs w:val="22"/>
          <w:highlight w:val="none"/>
        </w:rPr>
      </w:pPr>
      <w:r>
        <w:rPr>
          <w:highlight w:val="none"/>
        </w:rPr>
        <w:fldChar w:fldCharType="begin"/>
      </w:r>
      <w:r>
        <w:rPr>
          <w:highlight w:val="none"/>
        </w:rPr>
        <w:instrText xml:space="preserve"> HYPERLINK \l "_Toc61017624" </w:instrText>
      </w:r>
      <w:r>
        <w:rPr>
          <w:highlight w:val="none"/>
        </w:rPr>
        <w:fldChar w:fldCharType="separate"/>
      </w:r>
      <w:r>
        <w:rPr>
          <w:rStyle w:val="25"/>
          <w:rFonts w:hint="eastAsia" w:hAnsiTheme="majorEastAsia" w:eastAsiaTheme="minorEastAsia"/>
          <w:sz w:val="28"/>
          <w:highlight w:val="none"/>
        </w:rPr>
        <w:t>第一部分总则</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_Toc61017624 \h </w:instrText>
      </w:r>
      <w:r>
        <w:rPr>
          <w:rFonts w:eastAsiaTheme="minorEastAsia"/>
          <w:sz w:val="28"/>
          <w:highlight w:val="none"/>
        </w:rPr>
        <w:fldChar w:fldCharType="separate"/>
      </w:r>
      <w:r>
        <w:rPr>
          <w:rFonts w:eastAsiaTheme="minorEastAsia"/>
          <w:sz w:val="28"/>
          <w:highlight w:val="none"/>
        </w:rPr>
        <w:t>- 3 -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"_Toc61017625" </w:instrText>
      </w:r>
      <w:r>
        <w:rPr>
          <w:highlight w:val="none"/>
        </w:rPr>
        <w:fldChar w:fldCharType="separate"/>
      </w:r>
      <w:r>
        <w:rPr>
          <w:rStyle w:val="25"/>
          <w:rFonts w:hint="eastAsia" w:hAnsiTheme="majorEastAsia" w:eastAsiaTheme="minorEastAsia"/>
          <w:sz w:val="28"/>
          <w:highlight w:val="none"/>
        </w:rPr>
        <w:t>一、设计原则</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_Toc61017625 \h </w:instrText>
      </w:r>
      <w:r>
        <w:rPr>
          <w:rFonts w:eastAsiaTheme="minorEastAsia"/>
          <w:sz w:val="28"/>
          <w:highlight w:val="none"/>
        </w:rPr>
        <w:fldChar w:fldCharType="separate"/>
      </w:r>
      <w:r>
        <w:rPr>
          <w:rFonts w:eastAsiaTheme="minorEastAsia"/>
          <w:sz w:val="28"/>
          <w:highlight w:val="none"/>
        </w:rPr>
        <w:t>- 3 -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"_Toc61017626" </w:instrText>
      </w:r>
      <w:r>
        <w:rPr>
          <w:highlight w:val="none"/>
        </w:rPr>
        <w:fldChar w:fldCharType="separate"/>
      </w:r>
      <w:r>
        <w:rPr>
          <w:rStyle w:val="25"/>
          <w:rFonts w:hint="eastAsia" w:hAnsiTheme="majorEastAsia" w:eastAsiaTheme="minorEastAsia"/>
          <w:sz w:val="28"/>
          <w:highlight w:val="none"/>
        </w:rPr>
        <w:t>二、技术经济指标</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_Toc61017626 \h </w:instrText>
      </w:r>
      <w:r>
        <w:rPr>
          <w:rFonts w:eastAsiaTheme="minorEastAsia"/>
          <w:sz w:val="28"/>
          <w:highlight w:val="none"/>
        </w:rPr>
        <w:fldChar w:fldCharType="separate"/>
      </w:r>
      <w:r>
        <w:rPr>
          <w:rFonts w:eastAsiaTheme="minorEastAsia"/>
          <w:sz w:val="28"/>
          <w:highlight w:val="none"/>
        </w:rPr>
        <w:t>- 3 -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"_Toc61017627" </w:instrText>
      </w:r>
      <w:r>
        <w:rPr>
          <w:highlight w:val="none"/>
        </w:rPr>
        <w:fldChar w:fldCharType="separate"/>
      </w:r>
      <w:r>
        <w:rPr>
          <w:rStyle w:val="25"/>
          <w:rFonts w:hint="eastAsia" w:hAnsiTheme="majorEastAsia" w:eastAsiaTheme="minorEastAsia"/>
          <w:sz w:val="28"/>
          <w:highlight w:val="none"/>
        </w:rPr>
        <w:t>三、设计依据</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_Toc61017627 \h </w:instrText>
      </w:r>
      <w:r>
        <w:rPr>
          <w:rFonts w:eastAsiaTheme="minorEastAsia"/>
          <w:sz w:val="28"/>
          <w:highlight w:val="none"/>
        </w:rPr>
        <w:fldChar w:fldCharType="separate"/>
      </w:r>
      <w:r>
        <w:rPr>
          <w:rFonts w:eastAsiaTheme="minorEastAsia"/>
          <w:sz w:val="28"/>
          <w:highlight w:val="none"/>
        </w:rPr>
        <w:t>- 4 -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"_Toc61017628" </w:instrText>
      </w:r>
      <w:r>
        <w:rPr>
          <w:highlight w:val="none"/>
        </w:rPr>
        <w:fldChar w:fldCharType="separate"/>
      </w:r>
      <w:r>
        <w:rPr>
          <w:rStyle w:val="25"/>
          <w:rFonts w:hint="eastAsia" w:hAnsiTheme="majorEastAsia" w:eastAsiaTheme="minorEastAsia"/>
          <w:sz w:val="28"/>
          <w:highlight w:val="none"/>
        </w:rPr>
        <w:t>四、设计内容</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_Toc61017628 \h </w:instrText>
      </w:r>
      <w:r>
        <w:rPr>
          <w:rFonts w:eastAsiaTheme="minorEastAsia"/>
          <w:sz w:val="28"/>
          <w:highlight w:val="none"/>
        </w:rPr>
        <w:fldChar w:fldCharType="separate"/>
      </w:r>
      <w:r>
        <w:rPr>
          <w:rFonts w:eastAsiaTheme="minorEastAsia"/>
          <w:sz w:val="28"/>
          <w:highlight w:val="none"/>
        </w:rPr>
        <w:t>- 4 -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"_Toc61017629" </w:instrText>
      </w:r>
      <w:r>
        <w:rPr>
          <w:highlight w:val="none"/>
        </w:rPr>
        <w:fldChar w:fldCharType="separate"/>
      </w:r>
      <w:r>
        <w:rPr>
          <w:rStyle w:val="25"/>
          <w:rFonts w:hint="eastAsia" w:hAnsiTheme="majorEastAsia" w:eastAsiaTheme="minorEastAsia"/>
          <w:sz w:val="28"/>
          <w:highlight w:val="none"/>
        </w:rPr>
        <w:t>五、建造标准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_Toc61017629 \h </w:instrText>
      </w:r>
      <w:r>
        <w:rPr>
          <w:rFonts w:eastAsiaTheme="minorEastAsia"/>
          <w:sz w:val="28"/>
          <w:highlight w:val="none"/>
        </w:rPr>
        <w:fldChar w:fldCharType="separate"/>
      </w:r>
      <w:r>
        <w:rPr>
          <w:rFonts w:eastAsiaTheme="minorEastAsia"/>
          <w:sz w:val="28"/>
          <w:highlight w:val="none"/>
        </w:rPr>
        <w:t>- 5 -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"_Toc61017630" </w:instrText>
      </w:r>
      <w:r>
        <w:rPr>
          <w:highlight w:val="none"/>
        </w:rPr>
        <w:fldChar w:fldCharType="separate"/>
      </w:r>
      <w:r>
        <w:rPr>
          <w:rStyle w:val="25"/>
          <w:rFonts w:hint="eastAsia" w:hAnsiTheme="majorEastAsia" w:eastAsiaTheme="minorEastAsia"/>
          <w:sz w:val="28"/>
          <w:highlight w:val="none"/>
        </w:rPr>
        <w:t>六、图纸要求</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_Toc61017630 \h </w:instrText>
      </w:r>
      <w:r>
        <w:rPr>
          <w:rFonts w:eastAsiaTheme="minorEastAsia"/>
          <w:sz w:val="28"/>
          <w:highlight w:val="none"/>
        </w:rPr>
        <w:fldChar w:fldCharType="separate"/>
      </w:r>
      <w:r>
        <w:rPr>
          <w:rFonts w:eastAsiaTheme="minorEastAsia"/>
          <w:sz w:val="28"/>
          <w:highlight w:val="none"/>
        </w:rPr>
        <w:t>- 5 -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"_Toc61017631" </w:instrText>
      </w:r>
      <w:r>
        <w:rPr>
          <w:highlight w:val="none"/>
        </w:rPr>
        <w:fldChar w:fldCharType="separate"/>
      </w:r>
      <w:r>
        <w:rPr>
          <w:rStyle w:val="25"/>
          <w:rFonts w:hint="eastAsia" w:hAnsiTheme="majorEastAsia" w:eastAsiaTheme="minorEastAsia"/>
          <w:sz w:val="28"/>
          <w:highlight w:val="none"/>
        </w:rPr>
        <w:t>七、内容说明</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_Toc61017631 \h </w:instrText>
      </w:r>
      <w:r>
        <w:rPr>
          <w:rFonts w:eastAsiaTheme="minorEastAsia"/>
          <w:sz w:val="28"/>
          <w:highlight w:val="none"/>
        </w:rPr>
        <w:fldChar w:fldCharType="separate"/>
      </w:r>
      <w:r>
        <w:rPr>
          <w:rFonts w:eastAsiaTheme="minorEastAsia"/>
          <w:sz w:val="28"/>
          <w:highlight w:val="none"/>
        </w:rPr>
        <w:t>- 7 -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"_Toc61017632" </w:instrText>
      </w:r>
      <w:r>
        <w:rPr>
          <w:highlight w:val="none"/>
        </w:rPr>
        <w:fldChar w:fldCharType="separate"/>
      </w:r>
      <w:r>
        <w:rPr>
          <w:rStyle w:val="25"/>
          <w:rFonts w:hint="eastAsia" w:hAnsiTheme="majorEastAsia" w:eastAsiaTheme="minorEastAsia"/>
          <w:sz w:val="28"/>
          <w:highlight w:val="none"/>
        </w:rPr>
        <w:t>八、设计管理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_Toc61017632 \h </w:instrText>
      </w:r>
      <w:r>
        <w:rPr>
          <w:rFonts w:eastAsiaTheme="minorEastAsia"/>
          <w:sz w:val="28"/>
          <w:highlight w:val="none"/>
        </w:rPr>
        <w:fldChar w:fldCharType="separate"/>
      </w:r>
      <w:r>
        <w:rPr>
          <w:rFonts w:eastAsiaTheme="minorEastAsia"/>
          <w:sz w:val="28"/>
          <w:highlight w:val="none"/>
        </w:rPr>
        <w:t>- 8 -</w:t>
      </w:r>
      <w:r>
        <w:rPr>
          <w:rFonts w:eastAsiaTheme="minorEastAsia"/>
          <w:sz w:val="28"/>
          <w:highlight w:val="none"/>
        </w:rPr>
        <w:fldChar w:fldCharType="end"/>
      </w:r>
      <w:r>
        <w:rPr>
          <w:rFonts w:eastAsiaTheme="minorEastAsia"/>
          <w:sz w:val="28"/>
          <w:highlight w:val="none"/>
        </w:rPr>
        <w:fldChar w:fldCharType="end"/>
      </w:r>
    </w:p>
    <w:p>
      <w:pPr>
        <w:pStyle w:val="16"/>
        <w:adjustRightInd w:val="0"/>
        <w:snapToGrid w:val="0"/>
        <w:jc w:val="left"/>
        <w:rPr>
          <w:rFonts w:eastAsiaTheme="minorEastAsia" w:cstheme="minorBidi"/>
          <w:b w:val="0"/>
          <w:bCs w:val="0"/>
          <w:spacing w:val="0"/>
          <w:sz w:val="28"/>
          <w:szCs w:val="22"/>
          <w:highlight w:val="none"/>
        </w:rPr>
      </w:pPr>
      <w:r>
        <w:rPr>
          <w:highlight w:val="none"/>
        </w:rPr>
        <w:fldChar w:fldCharType="begin"/>
      </w:r>
      <w:r>
        <w:rPr>
          <w:highlight w:val="none"/>
        </w:rPr>
        <w:instrText xml:space="preserve"> HYPERLINK \l "_Toc61017633" </w:instrText>
      </w:r>
      <w:r>
        <w:rPr>
          <w:highlight w:val="none"/>
        </w:rPr>
        <w:fldChar w:fldCharType="separate"/>
      </w:r>
      <w:r>
        <w:rPr>
          <w:rStyle w:val="25"/>
          <w:rFonts w:hint="eastAsia" w:hAnsiTheme="majorEastAsia" w:eastAsiaTheme="minorEastAsia"/>
          <w:sz w:val="28"/>
          <w:highlight w:val="none"/>
        </w:rPr>
        <w:t>第二部分总体设计</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_Toc61017633 \h </w:instrText>
      </w:r>
      <w:r>
        <w:rPr>
          <w:rFonts w:eastAsiaTheme="minorEastAsia"/>
          <w:sz w:val="28"/>
          <w:highlight w:val="none"/>
        </w:rPr>
        <w:fldChar w:fldCharType="separate"/>
      </w:r>
      <w:r>
        <w:rPr>
          <w:rFonts w:eastAsiaTheme="minorEastAsia"/>
          <w:sz w:val="28"/>
          <w:highlight w:val="none"/>
        </w:rPr>
        <w:t>- 8 -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"_Toc61017634" </w:instrText>
      </w:r>
      <w:r>
        <w:rPr>
          <w:highlight w:val="none"/>
        </w:rPr>
        <w:fldChar w:fldCharType="separate"/>
      </w:r>
      <w:r>
        <w:rPr>
          <w:rStyle w:val="25"/>
          <w:rFonts w:hint="eastAsia" w:hAnsiTheme="majorEastAsia" w:eastAsiaTheme="minorEastAsia"/>
          <w:sz w:val="28"/>
          <w:highlight w:val="none"/>
        </w:rPr>
        <w:t>一、总平面设计</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_Toc61017634 \h </w:instrText>
      </w:r>
      <w:r>
        <w:rPr>
          <w:rFonts w:eastAsiaTheme="minorEastAsia"/>
          <w:sz w:val="28"/>
          <w:highlight w:val="none"/>
        </w:rPr>
        <w:fldChar w:fldCharType="separate"/>
      </w:r>
      <w:r>
        <w:rPr>
          <w:rFonts w:eastAsiaTheme="minorEastAsia"/>
          <w:sz w:val="28"/>
          <w:highlight w:val="none"/>
        </w:rPr>
        <w:t>- 8 -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"_Toc61017635" </w:instrText>
      </w:r>
      <w:r>
        <w:rPr>
          <w:highlight w:val="none"/>
        </w:rPr>
        <w:fldChar w:fldCharType="separate"/>
      </w:r>
      <w:r>
        <w:rPr>
          <w:rStyle w:val="25"/>
          <w:rFonts w:hint="eastAsia" w:hAnsiTheme="majorEastAsia" w:eastAsiaTheme="minorEastAsia"/>
          <w:sz w:val="28"/>
          <w:highlight w:val="none"/>
        </w:rPr>
        <w:t>二、消防设计</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_Toc61017635 \h </w:instrText>
      </w:r>
      <w:r>
        <w:rPr>
          <w:rFonts w:eastAsiaTheme="minorEastAsia"/>
          <w:sz w:val="28"/>
          <w:highlight w:val="none"/>
        </w:rPr>
        <w:fldChar w:fldCharType="separate"/>
      </w:r>
      <w:r>
        <w:rPr>
          <w:rFonts w:eastAsiaTheme="minorEastAsia"/>
          <w:sz w:val="28"/>
          <w:highlight w:val="none"/>
        </w:rPr>
        <w:t>- 9 -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"_Toc61017636" </w:instrText>
      </w:r>
      <w:r>
        <w:rPr>
          <w:highlight w:val="none"/>
        </w:rPr>
        <w:fldChar w:fldCharType="separate"/>
      </w:r>
      <w:r>
        <w:rPr>
          <w:rStyle w:val="25"/>
          <w:rFonts w:hint="eastAsia" w:hAnsiTheme="majorEastAsia" w:eastAsiaTheme="minorEastAsia"/>
          <w:sz w:val="28"/>
          <w:highlight w:val="none"/>
        </w:rPr>
        <w:t>三、竖向设计</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_Toc61017636 \h </w:instrText>
      </w:r>
      <w:r>
        <w:rPr>
          <w:rFonts w:eastAsiaTheme="minorEastAsia"/>
          <w:sz w:val="28"/>
          <w:highlight w:val="none"/>
        </w:rPr>
        <w:fldChar w:fldCharType="separate"/>
      </w:r>
      <w:r>
        <w:rPr>
          <w:rFonts w:eastAsiaTheme="minorEastAsia"/>
          <w:sz w:val="28"/>
          <w:highlight w:val="none"/>
        </w:rPr>
        <w:t>- 9 -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"_Toc61017637" </w:instrText>
      </w:r>
      <w:r>
        <w:rPr>
          <w:highlight w:val="none"/>
        </w:rPr>
        <w:fldChar w:fldCharType="separate"/>
      </w:r>
      <w:r>
        <w:rPr>
          <w:rStyle w:val="25"/>
          <w:rFonts w:hint="eastAsia" w:hAnsiTheme="majorEastAsia" w:eastAsiaTheme="minorEastAsia"/>
          <w:sz w:val="28"/>
          <w:highlight w:val="none"/>
        </w:rPr>
        <w:t>四、道路流线</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_Toc61017637 \h </w:instrText>
      </w:r>
      <w:r>
        <w:rPr>
          <w:rFonts w:eastAsiaTheme="minorEastAsia"/>
          <w:sz w:val="28"/>
          <w:highlight w:val="none"/>
        </w:rPr>
        <w:fldChar w:fldCharType="separate"/>
      </w:r>
      <w:r>
        <w:rPr>
          <w:rFonts w:eastAsiaTheme="minorEastAsia"/>
          <w:sz w:val="28"/>
          <w:highlight w:val="none"/>
        </w:rPr>
        <w:t>- 10 -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"_Toc61017638" </w:instrText>
      </w:r>
      <w:r>
        <w:rPr>
          <w:highlight w:val="none"/>
        </w:rPr>
        <w:fldChar w:fldCharType="separate"/>
      </w:r>
      <w:r>
        <w:rPr>
          <w:rStyle w:val="25"/>
          <w:rFonts w:hint="eastAsia" w:hAnsiTheme="majorEastAsia" w:eastAsiaTheme="minorEastAsia"/>
          <w:sz w:val="28"/>
          <w:highlight w:val="none"/>
        </w:rPr>
        <w:t>五、附属用房</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_Toc61017638 \h </w:instrText>
      </w:r>
      <w:r>
        <w:rPr>
          <w:rFonts w:eastAsiaTheme="minorEastAsia"/>
          <w:sz w:val="28"/>
          <w:highlight w:val="none"/>
        </w:rPr>
        <w:fldChar w:fldCharType="separate"/>
      </w:r>
      <w:r>
        <w:rPr>
          <w:rFonts w:eastAsiaTheme="minorEastAsia"/>
          <w:sz w:val="28"/>
          <w:highlight w:val="none"/>
        </w:rPr>
        <w:t>- 11 -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"_Toc61017639" </w:instrText>
      </w:r>
      <w:r>
        <w:rPr>
          <w:highlight w:val="none"/>
        </w:rPr>
        <w:fldChar w:fldCharType="separate"/>
      </w:r>
      <w:r>
        <w:rPr>
          <w:rStyle w:val="25"/>
          <w:rFonts w:hint="eastAsia" w:hAnsiTheme="majorEastAsia" w:eastAsiaTheme="minorEastAsia"/>
          <w:sz w:val="28"/>
          <w:highlight w:val="none"/>
        </w:rPr>
        <w:t>六、综合管网</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_Toc61017639 \h </w:instrText>
      </w:r>
      <w:r>
        <w:rPr>
          <w:rFonts w:eastAsiaTheme="minorEastAsia"/>
          <w:sz w:val="28"/>
          <w:highlight w:val="none"/>
        </w:rPr>
        <w:fldChar w:fldCharType="separate"/>
      </w:r>
      <w:r>
        <w:rPr>
          <w:rFonts w:eastAsiaTheme="minorEastAsia"/>
          <w:sz w:val="28"/>
          <w:highlight w:val="none"/>
        </w:rPr>
        <w:t>- 11 -</w:t>
      </w:r>
      <w:r>
        <w:rPr>
          <w:rFonts w:eastAsiaTheme="minorEastAsia"/>
          <w:sz w:val="28"/>
          <w:highlight w:val="none"/>
        </w:rPr>
        <w:fldChar w:fldCharType="end"/>
      </w:r>
      <w:r>
        <w:rPr>
          <w:rFonts w:eastAsiaTheme="minorEastAsia"/>
          <w:sz w:val="28"/>
          <w:highlight w:val="none"/>
        </w:rPr>
        <w:fldChar w:fldCharType="end"/>
      </w:r>
    </w:p>
    <w:p>
      <w:pPr>
        <w:pStyle w:val="16"/>
        <w:adjustRightInd w:val="0"/>
        <w:snapToGrid w:val="0"/>
        <w:jc w:val="left"/>
        <w:rPr>
          <w:rFonts w:eastAsiaTheme="minorEastAsia" w:cstheme="minorBidi"/>
          <w:b w:val="0"/>
          <w:bCs w:val="0"/>
          <w:spacing w:val="0"/>
          <w:sz w:val="28"/>
          <w:szCs w:val="22"/>
          <w:highlight w:val="none"/>
        </w:rPr>
      </w:pPr>
      <w:r>
        <w:rPr>
          <w:highlight w:val="none"/>
        </w:rPr>
        <w:fldChar w:fldCharType="begin"/>
      </w:r>
      <w:r>
        <w:rPr>
          <w:highlight w:val="none"/>
        </w:rPr>
        <w:instrText xml:space="preserve"> HYPERLINK \l "_Toc61017640" </w:instrText>
      </w:r>
      <w:r>
        <w:rPr>
          <w:highlight w:val="none"/>
        </w:rPr>
        <w:fldChar w:fldCharType="separate"/>
      </w:r>
      <w:r>
        <w:rPr>
          <w:rStyle w:val="25"/>
          <w:rFonts w:hint="eastAsia" w:hAnsiTheme="majorEastAsia" w:eastAsiaTheme="minorEastAsia"/>
          <w:sz w:val="28"/>
          <w:highlight w:val="none"/>
        </w:rPr>
        <w:t>第三部分建筑专业</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_Toc61017640 \h </w:instrText>
      </w:r>
      <w:r>
        <w:rPr>
          <w:rFonts w:eastAsiaTheme="minorEastAsia"/>
          <w:sz w:val="28"/>
          <w:highlight w:val="none"/>
        </w:rPr>
        <w:fldChar w:fldCharType="separate"/>
      </w:r>
      <w:r>
        <w:rPr>
          <w:rFonts w:eastAsiaTheme="minorEastAsia"/>
          <w:sz w:val="28"/>
          <w:highlight w:val="none"/>
        </w:rPr>
        <w:t>- 12 -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"_Toc61017641" </w:instrText>
      </w:r>
      <w:r>
        <w:rPr>
          <w:highlight w:val="none"/>
        </w:rPr>
        <w:fldChar w:fldCharType="separate"/>
      </w:r>
      <w:r>
        <w:rPr>
          <w:rStyle w:val="25"/>
          <w:rFonts w:hint="eastAsia" w:hAnsiTheme="majorEastAsia" w:eastAsiaTheme="minorEastAsia"/>
          <w:sz w:val="28"/>
          <w:highlight w:val="none"/>
        </w:rPr>
        <w:t>一、建筑专业设计任务书</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_Toc61017641 \h </w:instrText>
      </w:r>
      <w:r>
        <w:rPr>
          <w:rFonts w:eastAsiaTheme="minorEastAsia"/>
          <w:sz w:val="28"/>
          <w:highlight w:val="none"/>
        </w:rPr>
        <w:fldChar w:fldCharType="separate"/>
      </w:r>
      <w:r>
        <w:rPr>
          <w:rFonts w:eastAsiaTheme="minorEastAsia"/>
          <w:sz w:val="28"/>
          <w:highlight w:val="none"/>
        </w:rPr>
        <w:t>- 12 -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"_Toc61017642" </w:instrText>
      </w:r>
      <w:r>
        <w:rPr>
          <w:highlight w:val="none"/>
        </w:rPr>
        <w:fldChar w:fldCharType="separate"/>
      </w:r>
      <w:r>
        <w:rPr>
          <w:rStyle w:val="25"/>
          <w:rFonts w:hint="eastAsia" w:hAnsiTheme="majorEastAsia" w:eastAsiaTheme="minorEastAsia"/>
          <w:sz w:val="28"/>
          <w:highlight w:val="none"/>
        </w:rPr>
        <w:t>二、设计管理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_Toc61017642 \h </w:instrText>
      </w:r>
      <w:r>
        <w:rPr>
          <w:rFonts w:eastAsiaTheme="minorEastAsia"/>
          <w:sz w:val="28"/>
          <w:highlight w:val="none"/>
        </w:rPr>
        <w:fldChar w:fldCharType="separate"/>
      </w:r>
      <w:r>
        <w:rPr>
          <w:rFonts w:eastAsiaTheme="minorEastAsia"/>
          <w:sz w:val="28"/>
          <w:highlight w:val="none"/>
        </w:rPr>
        <w:t>- 17 -</w:t>
      </w:r>
      <w:r>
        <w:rPr>
          <w:rFonts w:eastAsiaTheme="minorEastAsia"/>
          <w:sz w:val="28"/>
          <w:highlight w:val="none"/>
        </w:rPr>
        <w:fldChar w:fldCharType="end"/>
      </w:r>
      <w:r>
        <w:rPr>
          <w:rFonts w:eastAsiaTheme="minorEastAsia"/>
          <w:sz w:val="28"/>
          <w:highlight w:val="none"/>
        </w:rPr>
        <w:fldChar w:fldCharType="end"/>
      </w:r>
    </w:p>
    <w:p>
      <w:pPr>
        <w:pStyle w:val="16"/>
        <w:adjustRightInd w:val="0"/>
        <w:snapToGrid w:val="0"/>
        <w:jc w:val="left"/>
        <w:rPr>
          <w:rFonts w:eastAsiaTheme="minorEastAsia" w:cstheme="minorBidi"/>
          <w:b w:val="0"/>
          <w:bCs w:val="0"/>
          <w:spacing w:val="0"/>
          <w:sz w:val="28"/>
          <w:szCs w:val="22"/>
          <w:highlight w:val="none"/>
        </w:rPr>
      </w:pPr>
      <w:r>
        <w:rPr>
          <w:highlight w:val="none"/>
        </w:rPr>
        <w:fldChar w:fldCharType="begin"/>
      </w:r>
      <w:r>
        <w:rPr>
          <w:highlight w:val="none"/>
        </w:rPr>
        <w:instrText xml:space="preserve"> HYPERLINK \l "_Toc61017643" </w:instrText>
      </w:r>
      <w:r>
        <w:rPr>
          <w:highlight w:val="none"/>
        </w:rPr>
        <w:fldChar w:fldCharType="separate"/>
      </w:r>
      <w:r>
        <w:rPr>
          <w:rStyle w:val="25"/>
          <w:rFonts w:hint="eastAsia" w:hAnsiTheme="majorEastAsia" w:eastAsiaTheme="minorEastAsia"/>
          <w:sz w:val="28"/>
          <w:highlight w:val="none"/>
        </w:rPr>
        <w:t>第四部分结构专业</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_Toc61017643 \h </w:instrText>
      </w:r>
      <w:r>
        <w:rPr>
          <w:rFonts w:eastAsiaTheme="minorEastAsia"/>
          <w:sz w:val="28"/>
          <w:highlight w:val="none"/>
        </w:rPr>
        <w:fldChar w:fldCharType="separate"/>
      </w:r>
      <w:r>
        <w:rPr>
          <w:rFonts w:eastAsiaTheme="minorEastAsia"/>
          <w:sz w:val="28"/>
          <w:highlight w:val="none"/>
        </w:rPr>
        <w:t>- 17 -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"_Toc61017644" </w:instrText>
      </w:r>
      <w:r>
        <w:rPr>
          <w:highlight w:val="none"/>
        </w:rPr>
        <w:fldChar w:fldCharType="separate"/>
      </w:r>
      <w:r>
        <w:rPr>
          <w:rStyle w:val="25"/>
          <w:rFonts w:hint="eastAsia" w:hAnsiTheme="majorEastAsia" w:eastAsiaTheme="minorEastAsia"/>
          <w:sz w:val="28"/>
          <w:highlight w:val="none"/>
        </w:rPr>
        <w:t>一、结构专业设计任务书</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_Toc61017644 \h </w:instrText>
      </w:r>
      <w:r>
        <w:rPr>
          <w:rFonts w:eastAsiaTheme="minorEastAsia"/>
          <w:sz w:val="28"/>
          <w:highlight w:val="none"/>
        </w:rPr>
        <w:fldChar w:fldCharType="separate"/>
      </w:r>
      <w:r>
        <w:rPr>
          <w:rFonts w:eastAsiaTheme="minorEastAsia"/>
          <w:sz w:val="28"/>
          <w:highlight w:val="none"/>
        </w:rPr>
        <w:t>- 17 -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"_Toc61017645" </w:instrText>
      </w:r>
      <w:r>
        <w:rPr>
          <w:highlight w:val="none"/>
        </w:rPr>
        <w:fldChar w:fldCharType="separate"/>
      </w:r>
      <w:r>
        <w:rPr>
          <w:rStyle w:val="25"/>
          <w:rFonts w:hint="eastAsia" w:hAnsiTheme="majorEastAsia" w:eastAsiaTheme="minorEastAsia"/>
          <w:sz w:val="28"/>
          <w:highlight w:val="none"/>
        </w:rPr>
        <w:t>二、结构设计管理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_Toc61017645 \h </w:instrText>
      </w:r>
      <w:r>
        <w:rPr>
          <w:rFonts w:eastAsiaTheme="minorEastAsia"/>
          <w:sz w:val="28"/>
          <w:highlight w:val="none"/>
        </w:rPr>
        <w:fldChar w:fldCharType="separate"/>
      </w:r>
      <w:r>
        <w:rPr>
          <w:rFonts w:eastAsiaTheme="minorEastAsia"/>
          <w:sz w:val="28"/>
          <w:highlight w:val="none"/>
        </w:rPr>
        <w:t>- 22 -</w:t>
      </w:r>
      <w:r>
        <w:rPr>
          <w:rFonts w:eastAsiaTheme="minorEastAsia"/>
          <w:sz w:val="28"/>
          <w:highlight w:val="none"/>
        </w:rPr>
        <w:fldChar w:fldCharType="end"/>
      </w:r>
      <w:r>
        <w:rPr>
          <w:rFonts w:eastAsiaTheme="minorEastAsia"/>
          <w:sz w:val="28"/>
          <w:highlight w:val="none"/>
        </w:rPr>
        <w:fldChar w:fldCharType="end"/>
      </w:r>
    </w:p>
    <w:p>
      <w:pPr>
        <w:pStyle w:val="16"/>
        <w:adjustRightInd w:val="0"/>
        <w:snapToGrid w:val="0"/>
        <w:jc w:val="left"/>
        <w:rPr>
          <w:rFonts w:eastAsiaTheme="minorEastAsia" w:cstheme="minorBidi"/>
          <w:b w:val="0"/>
          <w:bCs w:val="0"/>
          <w:spacing w:val="0"/>
          <w:sz w:val="28"/>
          <w:szCs w:val="22"/>
          <w:highlight w:val="none"/>
        </w:rPr>
      </w:pPr>
      <w:r>
        <w:rPr>
          <w:highlight w:val="none"/>
        </w:rPr>
        <w:fldChar w:fldCharType="begin"/>
      </w:r>
      <w:r>
        <w:rPr>
          <w:highlight w:val="none"/>
        </w:rPr>
        <w:instrText xml:space="preserve"> HYPERLINK \l "_Toc61017646" </w:instrText>
      </w:r>
      <w:r>
        <w:rPr>
          <w:highlight w:val="none"/>
        </w:rPr>
        <w:fldChar w:fldCharType="separate"/>
      </w:r>
      <w:r>
        <w:rPr>
          <w:rStyle w:val="25"/>
          <w:rFonts w:hint="eastAsia" w:hAnsiTheme="majorEastAsia" w:eastAsiaTheme="minorEastAsia"/>
          <w:sz w:val="28"/>
          <w:highlight w:val="none"/>
        </w:rPr>
        <w:t>第五部分机电专业</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_Toc61017646 \h </w:instrText>
      </w:r>
      <w:r>
        <w:rPr>
          <w:rFonts w:eastAsiaTheme="minorEastAsia"/>
          <w:sz w:val="28"/>
          <w:highlight w:val="none"/>
        </w:rPr>
        <w:fldChar w:fldCharType="separate"/>
      </w:r>
      <w:r>
        <w:rPr>
          <w:rFonts w:eastAsiaTheme="minorEastAsia"/>
          <w:sz w:val="28"/>
          <w:highlight w:val="none"/>
        </w:rPr>
        <w:t>- 23 -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"_Toc61017647" </w:instrText>
      </w:r>
      <w:r>
        <w:rPr>
          <w:highlight w:val="none"/>
        </w:rPr>
        <w:fldChar w:fldCharType="separate"/>
      </w:r>
      <w:r>
        <w:rPr>
          <w:rStyle w:val="25"/>
          <w:rFonts w:hint="eastAsia" w:hAnsiTheme="majorEastAsia" w:eastAsiaTheme="minorEastAsia"/>
          <w:sz w:val="28"/>
          <w:highlight w:val="none"/>
        </w:rPr>
        <w:t>一、电气部分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_Toc61017647 \h </w:instrText>
      </w:r>
      <w:r>
        <w:rPr>
          <w:rFonts w:eastAsiaTheme="minorEastAsia"/>
          <w:sz w:val="28"/>
          <w:highlight w:val="none"/>
        </w:rPr>
        <w:fldChar w:fldCharType="separate"/>
      </w:r>
      <w:r>
        <w:rPr>
          <w:rFonts w:eastAsiaTheme="minorEastAsia"/>
          <w:sz w:val="28"/>
          <w:highlight w:val="none"/>
        </w:rPr>
        <w:t>- 23 -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"_Toc61017648" </w:instrText>
      </w:r>
      <w:r>
        <w:rPr>
          <w:highlight w:val="none"/>
        </w:rPr>
        <w:fldChar w:fldCharType="separate"/>
      </w:r>
      <w:r>
        <w:rPr>
          <w:rStyle w:val="25"/>
          <w:rFonts w:hint="eastAsia" w:hAnsiTheme="majorEastAsia" w:eastAsiaTheme="minorEastAsia"/>
          <w:sz w:val="28"/>
          <w:highlight w:val="none"/>
        </w:rPr>
        <w:t>二、给排水部分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_Toc61017648 \h </w:instrText>
      </w:r>
      <w:r>
        <w:rPr>
          <w:rFonts w:eastAsiaTheme="minorEastAsia"/>
          <w:sz w:val="28"/>
          <w:highlight w:val="none"/>
        </w:rPr>
        <w:fldChar w:fldCharType="separate"/>
      </w:r>
      <w:r>
        <w:rPr>
          <w:rFonts w:eastAsiaTheme="minorEastAsia"/>
          <w:sz w:val="28"/>
          <w:highlight w:val="none"/>
        </w:rPr>
        <w:t>- 34 -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"_Toc61017649" </w:instrText>
      </w:r>
      <w:r>
        <w:rPr>
          <w:highlight w:val="none"/>
        </w:rPr>
        <w:fldChar w:fldCharType="separate"/>
      </w:r>
      <w:r>
        <w:rPr>
          <w:rStyle w:val="25"/>
          <w:rFonts w:hint="eastAsia" w:hAnsiTheme="majorEastAsia" w:eastAsiaTheme="minorEastAsia"/>
          <w:sz w:val="28"/>
          <w:highlight w:val="none"/>
        </w:rPr>
        <w:t>三、暖通部分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_Toc61017649 \h </w:instrText>
      </w:r>
      <w:r>
        <w:rPr>
          <w:rFonts w:eastAsiaTheme="minorEastAsia"/>
          <w:sz w:val="28"/>
          <w:highlight w:val="none"/>
        </w:rPr>
        <w:fldChar w:fldCharType="separate"/>
      </w:r>
      <w:r>
        <w:rPr>
          <w:rFonts w:eastAsiaTheme="minorEastAsia"/>
          <w:sz w:val="28"/>
          <w:highlight w:val="none"/>
        </w:rPr>
        <w:t>- 40 -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"_Toc61017650" </w:instrText>
      </w:r>
      <w:r>
        <w:rPr>
          <w:highlight w:val="none"/>
        </w:rPr>
        <w:fldChar w:fldCharType="separate"/>
      </w:r>
      <w:r>
        <w:rPr>
          <w:rStyle w:val="25"/>
          <w:rFonts w:hint="eastAsia" w:hAnsiTheme="majorEastAsia" w:eastAsiaTheme="minorEastAsia"/>
          <w:sz w:val="28"/>
          <w:highlight w:val="none"/>
        </w:rPr>
        <w:t>四、燃气部分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_Toc61017650 \h </w:instrText>
      </w:r>
      <w:r>
        <w:rPr>
          <w:rFonts w:eastAsiaTheme="minorEastAsia"/>
          <w:sz w:val="28"/>
          <w:highlight w:val="none"/>
        </w:rPr>
        <w:fldChar w:fldCharType="separate"/>
      </w:r>
      <w:r>
        <w:rPr>
          <w:rFonts w:eastAsiaTheme="minorEastAsia"/>
          <w:sz w:val="28"/>
          <w:highlight w:val="none"/>
        </w:rPr>
        <w:t>- 42 -</w:t>
      </w:r>
      <w:r>
        <w:rPr>
          <w:rFonts w:eastAsiaTheme="minorEastAsia"/>
          <w:sz w:val="28"/>
          <w:highlight w:val="none"/>
        </w:rPr>
        <w:fldChar w:fldCharType="end"/>
      </w:r>
      <w:r>
        <w:rPr>
          <w:rFonts w:eastAsiaTheme="minorEastAsia"/>
          <w:sz w:val="28"/>
          <w:highlight w:val="none"/>
        </w:rPr>
        <w:fldChar w:fldCharType="end"/>
      </w:r>
    </w:p>
    <w:p>
      <w:pPr>
        <w:pStyle w:val="19"/>
        <w:tabs>
          <w:tab w:val="right" w:leader="dot" w:pos="9628"/>
        </w:tabs>
        <w:adjustRightInd w:val="0"/>
        <w:snapToGrid w:val="0"/>
        <w:ind w:left="0" w:leftChars="0"/>
        <w:jc w:val="left"/>
        <w:rPr>
          <w:rFonts w:eastAsiaTheme="minorEastAsia" w:cstheme="minorBidi"/>
          <w:sz w:val="28"/>
          <w:szCs w:val="22"/>
          <w:highlight w:val="none"/>
        </w:rPr>
      </w:pPr>
      <w:r>
        <w:rPr>
          <w:highlight w:val="none"/>
        </w:rPr>
        <w:fldChar w:fldCharType="begin"/>
      </w:r>
      <w:r>
        <w:rPr>
          <w:highlight w:val="none"/>
        </w:rPr>
        <w:instrText xml:space="preserve"> HYPERLINK \l "_Toc61017651" </w:instrText>
      </w:r>
      <w:r>
        <w:rPr>
          <w:highlight w:val="none"/>
        </w:rPr>
        <w:fldChar w:fldCharType="separate"/>
      </w:r>
      <w:r>
        <w:rPr>
          <w:rStyle w:val="25"/>
          <w:rFonts w:hint="eastAsia" w:hAnsiTheme="majorEastAsia" w:eastAsiaTheme="minorEastAsia"/>
          <w:sz w:val="28"/>
          <w:highlight w:val="none"/>
        </w:rPr>
        <w:t>五</w:t>
      </w:r>
      <w:r>
        <w:rPr>
          <w:rStyle w:val="25"/>
          <w:rFonts w:eastAsiaTheme="minorEastAsia"/>
          <w:sz w:val="28"/>
          <w:highlight w:val="none"/>
        </w:rPr>
        <w:t>.</w:t>
      </w:r>
      <w:r>
        <w:rPr>
          <w:rStyle w:val="25"/>
          <w:rFonts w:hint="eastAsia" w:hAnsiTheme="majorEastAsia" w:eastAsiaTheme="minorEastAsia"/>
          <w:sz w:val="28"/>
          <w:highlight w:val="none"/>
        </w:rPr>
        <w:t>设计管理</w:t>
      </w:r>
      <w:r>
        <w:rPr>
          <w:rFonts w:eastAsiaTheme="minorEastAsia"/>
          <w:sz w:val="28"/>
          <w:highlight w:val="none"/>
        </w:rPr>
        <w:tab/>
      </w:r>
      <w:r>
        <w:rPr>
          <w:rFonts w:eastAsiaTheme="minorEastAsia"/>
          <w:sz w:val="28"/>
          <w:highlight w:val="none"/>
        </w:rPr>
        <w:fldChar w:fldCharType="begin"/>
      </w:r>
      <w:r>
        <w:rPr>
          <w:rFonts w:eastAsiaTheme="minorEastAsia"/>
          <w:sz w:val="28"/>
          <w:highlight w:val="none"/>
        </w:rPr>
        <w:instrText xml:space="preserve"> PAGEREF _Toc61017651 \h </w:instrText>
      </w:r>
      <w:r>
        <w:rPr>
          <w:rFonts w:eastAsiaTheme="minorEastAsia"/>
          <w:sz w:val="28"/>
          <w:highlight w:val="none"/>
        </w:rPr>
        <w:fldChar w:fldCharType="separate"/>
      </w:r>
      <w:r>
        <w:rPr>
          <w:rFonts w:eastAsiaTheme="minorEastAsia"/>
          <w:sz w:val="28"/>
          <w:highlight w:val="none"/>
        </w:rPr>
        <w:t>- 42 -</w:t>
      </w:r>
      <w:r>
        <w:rPr>
          <w:rFonts w:eastAsiaTheme="minorEastAsia"/>
          <w:sz w:val="28"/>
          <w:highlight w:val="none"/>
        </w:rPr>
        <w:fldChar w:fldCharType="end"/>
      </w:r>
      <w:r>
        <w:rPr>
          <w:rFonts w:eastAsiaTheme="minorEastAsia"/>
          <w:sz w:val="28"/>
          <w:highlight w:val="none"/>
        </w:rPr>
        <w:fldChar w:fldCharType="end"/>
      </w:r>
    </w:p>
    <w:p>
      <w:pPr>
        <w:pStyle w:val="4"/>
        <w:numPr>
          <w:ilvl w:val="0"/>
          <w:numId w:val="0"/>
        </w:numPr>
        <w:adjustRightInd w:val="0"/>
        <w:snapToGrid w:val="0"/>
        <w:spacing w:before="0" w:after="0" w:line="300" w:lineRule="auto"/>
        <w:jc w:val="center"/>
        <w:rPr>
          <w:highlight w:val="none"/>
        </w:rPr>
      </w:pPr>
      <w:r>
        <w:rPr>
          <w:rFonts w:eastAsiaTheme="minorEastAsia"/>
          <w:sz w:val="28"/>
          <w:highlight w:val="none"/>
        </w:rPr>
        <w:fldChar w:fldCharType="end"/>
      </w:r>
      <w:bookmarkStart w:id="4" w:name="_Toc61017624"/>
    </w:p>
    <w:p>
      <w:pPr>
        <w:pStyle w:val="4"/>
        <w:numPr>
          <w:ilvl w:val="0"/>
          <w:numId w:val="0"/>
        </w:numPr>
        <w:adjustRightInd w:val="0"/>
        <w:snapToGrid w:val="0"/>
        <w:spacing w:before="0" w:after="0" w:line="300" w:lineRule="auto"/>
        <w:jc w:val="center"/>
        <w:rPr>
          <w:highlight w:val="none"/>
        </w:rPr>
      </w:pPr>
      <w:r>
        <w:rPr>
          <w:highlight w:val="none"/>
        </w:rPr>
        <w:br w:type="page"/>
      </w:r>
      <w:r>
        <w:rPr>
          <w:rFonts w:hint="eastAsia" w:asciiTheme="majorEastAsia" w:hAnsiTheme="majorEastAsia" w:eastAsiaTheme="majorEastAsia"/>
          <w:sz w:val="36"/>
          <w:szCs w:val="36"/>
          <w:highlight w:val="none"/>
        </w:rPr>
        <w:t>第一部分总则</w:t>
      </w:r>
      <w:bookmarkEnd w:id="0"/>
      <w:bookmarkEnd w:id="1"/>
      <w:bookmarkEnd w:id="2"/>
      <w:bookmarkEnd w:id="3"/>
      <w:bookmarkEnd w:id="4"/>
    </w:p>
    <w:p>
      <w:pPr>
        <w:pStyle w:val="5"/>
        <w:numPr>
          <w:ilvl w:val="0"/>
          <w:numId w:val="0"/>
        </w:numPr>
        <w:adjustRightInd w:val="0"/>
        <w:snapToGrid w:val="0"/>
        <w:spacing w:before="0" w:after="0" w:line="415" w:lineRule="auto"/>
        <w:ind w:firstLine="640" w:firstLineChars="200"/>
        <w:rPr>
          <w:rFonts w:ascii="Times New Roman" w:hAnsi="Times New Roman" w:eastAsia="宋体"/>
          <w:b w:val="0"/>
          <w:bCs w:val="0"/>
          <w:sz w:val="28"/>
          <w:szCs w:val="21"/>
          <w:highlight w:val="none"/>
        </w:rPr>
      </w:pPr>
      <w:bookmarkStart w:id="5" w:name="_Toc61017625"/>
      <w:bookmarkStart w:id="6" w:name="_Toc61006843"/>
      <w:bookmarkStart w:id="7" w:name="_Toc342057059"/>
      <w:r>
        <w:rPr>
          <w:rFonts w:hint="eastAsia" w:asciiTheme="majorEastAsia" w:hAnsiTheme="majorEastAsia" w:eastAsiaTheme="majorEastAsia"/>
          <w:highlight w:val="none"/>
        </w:rPr>
        <w:t>一、设</w:t>
      </w:r>
      <w:r>
        <w:rPr>
          <w:rFonts w:hint="eastAsia" w:ascii="Times New Roman" w:hAnsi="Times New Roman" w:eastAsia="宋体"/>
          <w:b w:val="0"/>
          <w:bCs w:val="0"/>
          <w:sz w:val="28"/>
          <w:szCs w:val="21"/>
          <w:highlight w:val="none"/>
        </w:rPr>
        <w:t>计原则</w:t>
      </w:r>
      <w:bookmarkEnd w:id="5"/>
      <w:bookmarkEnd w:id="6"/>
      <w:bookmarkEnd w:id="7"/>
    </w:p>
    <w:p>
      <w:pPr>
        <w:adjustRightInd w:val="0"/>
        <w:snapToGrid w:val="0"/>
        <w:spacing w:line="360" w:lineRule="auto"/>
        <w:ind w:firstLine="560" w:firstLineChars="200"/>
        <w:jc w:val="left"/>
        <w:rPr>
          <w:sz w:val="28"/>
          <w:highlight w:val="none"/>
        </w:rPr>
      </w:pPr>
      <w:r>
        <w:rPr>
          <w:rFonts w:hint="eastAsia"/>
          <w:sz w:val="28"/>
          <w:highlight w:val="none"/>
        </w:rPr>
        <w:t>为保证白云区国铁棠溪站 AB2805001 地块项目施工图设计阶段的顺利进行，使商务办公设计成果达到高标准、便于管理及维修要求，减少施工过程中的返工与改动，有效避免项目设计中的常见问题，设计应遵循以下原则：</w:t>
      </w:r>
    </w:p>
    <w:p>
      <w:pPr>
        <w:adjustRightInd w:val="0"/>
        <w:snapToGrid w:val="0"/>
        <w:spacing w:line="360" w:lineRule="auto"/>
        <w:ind w:firstLine="560" w:firstLineChars="200"/>
        <w:jc w:val="left"/>
        <w:rPr>
          <w:sz w:val="28"/>
          <w:highlight w:val="none"/>
        </w:rPr>
      </w:pPr>
      <w:r>
        <w:rPr>
          <w:rFonts w:hint="eastAsia"/>
          <w:sz w:val="28"/>
          <w:highlight w:val="none"/>
        </w:rPr>
        <w:t>1、安全性的原则；</w:t>
      </w:r>
    </w:p>
    <w:p>
      <w:pPr>
        <w:adjustRightInd w:val="0"/>
        <w:snapToGrid w:val="0"/>
        <w:spacing w:line="360" w:lineRule="auto"/>
        <w:ind w:firstLine="560" w:firstLineChars="200"/>
        <w:jc w:val="left"/>
        <w:rPr>
          <w:sz w:val="28"/>
          <w:highlight w:val="none"/>
        </w:rPr>
      </w:pPr>
      <w:r>
        <w:rPr>
          <w:rFonts w:hint="eastAsia"/>
          <w:sz w:val="28"/>
          <w:highlight w:val="none"/>
        </w:rPr>
        <w:t>2、满足设计深度要求的原则；</w:t>
      </w:r>
    </w:p>
    <w:p>
      <w:pPr>
        <w:adjustRightInd w:val="0"/>
        <w:snapToGrid w:val="0"/>
        <w:spacing w:line="360" w:lineRule="auto"/>
        <w:ind w:firstLine="560" w:firstLineChars="200"/>
        <w:jc w:val="left"/>
        <w:rPr>
          <w:sz w:val="28"/>
          <w:highlight w:val="none"/>
        </w:rPr>
      </w:pPr>
      <w:r>
        <w:rPr>
          <w:rFonts w:hint="eastAsia"/>
          <w:sz w:val="28"/>
          <w:highlight w:val="none"/>
        </w:rPr>
        <w:t>3、建筑经济性原则：主体结构布置合理，控制各项含量指标；</w:t>
      </w:r>
    </w:p>
    <w:p>
      <w:pPr>
        <w:adjustRightInd w:val="0"/>
        <w:snapToGrid w:val="0"/>
        <w:spacing w:line="360" w:lineRule="auto"/>
        <w:ind w:firstLine="560" w:firstLineChars="200"/>
        <w:jc w:val="left"/>
        <w:rPr>
          <w:sz w:val="28"/>
          <w:highlight w:val="none"/>
        </w:rPr>
      </w:pPr>
      <w:r>
        <w:rPr>
          <w:rFonts w:hint="eastAsia"/>
          <w:sz w:val="28"/>
          <w:highlight w:val="none"/>
        </w:rPr>
        <w:t>4、与方案设计一致性原则；</w:t>
      </w:r>
    </w:p>
    <w:p>
      <w:pPr>
        <w:adjustRightInd w:val="0"/>
        <w:snapToGrid w:val="0"/>
        <w:spacing w:line="360" w:lineRule="auto"/>
        <w:ind w:firstLine="560" w:firstLineChars="200"/>
        <w:jc w:val="left"/>
        <w:rPr>
          <w:sz w:val="28"/>
          <w:highlight w:val="none"/>
        </w:rPr>
      </w:pPr>
      <w:r>
        <w:rPr>
          <w:rFonts w:hint="eastAsia"/>
          <w:sz w:val="28"/>
          <w:highlight w:val="none"/>
        </w:rPr>
        <w:t>5、各专业协同配合原则；</w:t>
      </w:r>
    </w:p>
    <w:p>
      <w:pPr>
        <w:adjustRightInd w:val="0"/>
        <w:snapToGrid w:val="0"/>
        <w:spacing w:line="360" w:lineRule="auto"/>
        <w:ind w:firstLine="560" w:firstLineChars="200"/>
        <w:jc w:val="left"/>
        <w:rPr>
          <w:sz w:val="28"/>
          <w:highlight w:val="none"/>
        </w:rPr>
      </w:pPr>
      <w:r>
        <w:rPr>
          <w:rFonts w:hint="eastAsia"/>
          <w:sz w:val="28"/>
          <w:highlight w:val="none"/>
        </w:rPr>
        <w:t>6、与景观设计密切配合的原则；</w:t>
      </w:r>
    </w:p>
    <w:p>
      <w:pPr>
        <w:adjustRightInd w:val="0"/>
        <w:snapToGrid w:val="0"/>
        <w:spacing w:line="360" w:lineRule="auto"/>
        <w:ind w:firstLine="560" w:firstLineChars="200"/>
        <w:jc w:val="left"/>
        <w:rPr>
          <w:sz w:val="28"/>
          <w:highlight w:val="none"/>
        </w:rPr>
      </w:pPr>
      <w:r>
        <w:rPr>
          <w:rFonts w:hint="eastAsia"/>
          <w:sz w:val="28"/>
          <w:highlight w:val="none"/>
        </w:rPr>
        <w:t>7、与室内设计密切配合的原则；</w:t>
      </w:r>
    </w:p>
    <w:p>
      <w:pPr>
        <w:adjustRightInd w:val="0"/>
        <w:snapToGrid w:val="0"/>
        <w:spacing w:line="360" w:lineRule="auto"/>
        <w:ind w:firstLine="560" w:firstLineChars="200"/>
        <w:jc w:val="left"/>
        <w:rPr>
          <w:sz w:val="28"/>
          <w:highlight w:val="none"/>
        </w:rPr>
      </w:pPr>
      <w:r>
        <w:rPr>
          <w:rFonts w:hint="eastAsia"/>
          <w:sz w:val="28"/>
          <w:highlight w:val="none"/>
        </w:rPr>
        <w:t>8、创新与特色的原则：做出项目独有的品味和高端形象；</w:t>
      </w:r>
      <w:bookmarkStart w:id="8" w:name="_Toc61017626"/>
      <w:bookmarkStart w:id="9" w:name="_Toc61006844"/>
      <w:r>
        <w:rPr>
          <w:rFonts w:hint="eastAsia"/>
          <w:sz w:val="28"/>
          <w:highlight w:val="none"/>
        </w:rPr>
        <w:t>打造成国门枢纽，产城融合新典范，未来的城市之光。</w:t>
      </w:r>
    </w:p>
    <w:p>
      <w:pPr>
        <w:adjustRightInd w:val="0"/>
        <w:snapToGrid w:val="0"/>
        <w:spacing w:line="360" w:lineRule="auto"/>
        <w:ind w:firstLine="560" w:firstLineChars="200"/>
        <w:jc w:val="left"/>
        <w:rPr>
          <w:sz w:val="28"/>
          <w:highlight w:val="none"/>
        </w:rPr>
      </w:pPr>
      <w:r>
        <w:rPr>
          <w:rFonts w:hint="eastAsia"/>
          <w:sz w:val="28"/>
          <w:highlight w:val="none"/>
        </w:rPr>
        <w:t>9、及时性原则：严格按照设计计划推进，满足现场需求以及施工配合需求。</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r>
        <w:rPr>
          <w:rFonts w:hint="eastAsia" w:asciiTheme="majorEastAsia" w:hAnsiTheme="majorEastAsia" w:eastAsiaTheme="majorEastAsia"/>
          <w:highlight w:val="none"/>
        </w:rPr>
        <w:t>二、技术经济指标</w:t>
      </w:r>
      <w:bookmarkEnd w:id="8"/>
      <w:bookmarkEnd w:id="9"/>
    </w:p>
    <w:p>
      <w:pPr>
        <w:adjustRightInd w:val="0"/>
        <w:snapToGrid w:val="0"/>
        <w:spacing w:line="360" w:lineRule="auto"/>
        <w:ind w:firstLine="560" w:firstLineChars="200"/>
        <w:jc w:val="left"/>
        <w:rPr>
          <w:sz w:val="28"/>
          <w:highlight w:val="none"/>
        </w:rPr>
      </w:pPr>
      <w:bookmarkStart w:id="10" w:name="_Toc61006845"/>
      <w:r>
        <w:rPr>
          <w:rFonts w:hint="eastAsia"/>
          <w:sz w:val="28"/>
          <w:highlight w:val="none"/>
        </w:rPr>
        <w:t>注：建设规模为根据初步设计统计，施工图设计时应根据任务书要求重新计算并统计。</w:t>
      </w:r>
      <w:bookmarkEnd w:id="10"/>
    </w:p>
    <w:tbl>
      <w:tblPr>
        <w:tblStyle w:val="22"/>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1075"/>
        <w:gridCol w:w="1774"/>
        <w:gridCol w:w="1296"/>
        <w:gridCol w:w="1038"/>
        <w:gridCol w:w="1362"/>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527" w:type="dxa"/>
            <w:vAlign w:val="center"/>
          </w:tcPr>
          <w:p>
            <w:pPr>
              <w:adjustRightInd w:val="0"/>
              <w:snapToGrid w:val="0"/>
              <w:spacing w:line="360" w:lineRule="auto"/>
              <w:jc w:val="center"/>
              <w:rPr>
                <w:sz w:val="24"/>
                <w:szCs w:val="24"/>
                <w:highlight w:val="none"/>
              </w:rPr>
            </w:pPr>
            <w:r>
              <w:rPr>
                <w:rFonts w:hint="eastAsia"/>
                <w:sz w:val="24"/>
                <w:szCs w:val="24"/>
                <w:highlight w:val="none"/>
              </w:rPr>
              <w:t>总用地面积</w:t>
            </w:r>
          </w:p>
        </w:tc>
        <w:tc>
          <w:tcPr>
            <w:tcW w:w="1075" w:type="dxa"/>
            <w:vAlign w:val="center"/>
          </w:tcPr>
          <w:p>
            <w:pPr>
              <w:adjustRightInd w:val="0"/>
              <w:snapToGrid w:val="0"/>
              <w:spacing w:line="360" w:lineRule="auto"/>
              <w:jc w:val="center"/>
              <w:rPr>
                <w:sz w:val="24"/>
                <w:szCs w:val="24"/>
                <w:highlight w:val="none"/>
              </w:rPr>
            </w:pPr>
            <w:r>
              <w:rPr>
                <w:rFonts w:hint="eastAsia"/>
                <w:sz w:val="24"/>
                <w:szCs w:val="24"/>
                <w:highlight w:val="none"/>
              </w:rPr>
              <w:t>容积率</w:t>
            </w:r>
          </w:p>
        </w:tc>
        <w:tc>
          <w:tcPr>
            <w:tcW w:w="1774" w:type="dxa"/>
            <w:vAlign w:val="center"/>
          </w:tcPr>
          <w:p>
            <w:pPr>
              <w:adjustRightInd w:val="0"/>
              <w:snapToGrid w:val="0"/>
              <w:spacing w:line="360" w:lineRule="auto"/>
              <w:jc w:val="center"/>
              <w:rPr>
                <w:sz w:val="24"/>
                <w:szCs w:val="24"/>
                <w:highlight w:val="none"/>
              </w:rPr>
            </w:pPr>
            <w:r>
              <w:rPr>
                <w:rFonts w:hint="eastAsia"/>
                <w:sz w:val="24"/>
                <w:szCs w:val="24"/>
                <w:highlight w:val="none"/>
              </w:rPr>
              <w:t>计容面积</w:t>
            </w:r>
          </w:p>
        </w:tc>
        <w:tc>
          <w:tcPr>
            <w:tcW w:w="1296" w:type="dxa"/>
            <w:vAlign w:val="center"/>
          </w:tcPr>
          <w:p>
            <w:pPr>
              <w:adjustRightInd w:val="0"/>
              <w:snapToGrid w:val="0"/>
              <w:spacing w:line="360" w:lineRule="auto"/>
              <w:jc w:val="center"/>
              <w:rPr>
                <w:sz w:val="24"/>
                <w:szCs w:val="24"/>
                <w:highlight w:val="none"/>
              </w:rPr>
            </w:pPr>
            <w:r>
              <w:rPr>
                <w:rFonts w:hint="eastAsia"/>
                <w:sz w:val="24"/>
                <w:szCs w:val="24"/>
                <w:highlight w:val="none"/>
              </w:rPr>
              <w:t>建筑密度</w:t>
            </w:r>
          </w:p>
        </w:tc>
        <w:tc>
          <w:tcPr>
            <w:tcW w:w="1038" w:type="dxa"/>
            <w:vAlign w:val="center"/>
          </w:tcPr>
          <w:p>
            <w:pPr>
              <w:adjustRightInd w:val="0"/>
              <w:snapToGrid w:val="0"/>
              <w:spacing w:line="360" w:lineRule="auto"/>
              <w:jc w:val="center"/>
              <w:rPr>
                <w:sz w:val="24"/>
                <w:szCs w:val="24"/>
                <w:highlight w:val="none"/>
              </w:rPr>
            </w:pPr>
            <w:r>
              <w:rPr>
                <w:rFonts w:hint="eastAsia"/>
                <w:sz w:val="24"/>
                <w:szCs w:val="24"/>
                <w:highlight w:val="none"/>
              </w:rPr>
              <w:t>绿地率</w:t>
            </w:r>
          </w:p>
        </w:tc>
        <w:tc>
          <w:tcPr>
            <w:tcW w:w="1362" w:type="dxa"/>
            <w:vAlign w:val="center"/>
          </w:tcPr>
          <w:p>
            <w:pPr>
              <w:adjustRightInd w:val="0"/>
              <w:snapToGrid w:val="0"/>
              <w:spacing w:line="360" w:lineRule="auto"/>
              <w:jc w:val="center"/>
              <w:rPr>
                <w:sz w:val="24"/>
                <w:szCs w:val="24"/>
                <w:highlight w:val="none"/>
              </w:rPr>
            </w:pPr>
            <w:r>
              <w:rPr>
                <w:rFonts w:hint="eastAsia"/>
                <w:sz w:val="24"/>
                <w:szCs w:val="24"/>
                <w:highlight w:val="none"/>
              </w:rPr>
              <w:t>建筑限高</w:t>
            </w:r>
          </w:p>
        </w:tc>
        <w:tc>
          <w:tcPr>
            <w:tcW w:w="1760" w:type="dxa"/>
            <w:vAlign w:val="center"/>
          </w:tcPr>
          <w:p>
            <w:pPr>
              <w:adjustRightInd w:val="0"/>
              <w:snapToGrid w:val="0"/>
              <w:spacing w:line="360" w:lineRule="auto"/>
              <w:jc w:val="center"/>
              <w:rPr>
                <w:sz w:val="24"/>
                <w:szCs w:val="24"/>
                <w:highlight w:val="none"/>
              </w:rPr>
            </w:pPr>
            <w:r>
              <w:rPr>
                <w:rFonts w:hint="eastAsia"/>
                <w:sz w:val="24"/>
                <w:szCs w:val="24"/>
                <w:highlight w:val="none"/>
              </w:rPr>
              <w:t>配套商业面积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527" w:type="dxa"/>
            <w:vAlign w:val="center"/>
          </w:tcPr>
          <w:p>
            <w:pPr>
              <w:adjustRightInd w:val="0"/>
              <w:snapToGrid w:val="0"/>
              <w:spacing w:line="360" w:lineRule="auto"/>
              <w:jc w:val="center"/>
              <w:rPr>
                <w:sz w:val="28"/>
                <w:highlight w:val="none"/>
              </w:rPr>
            </w:pPr>
            <w:r>
              <w:rPr>
                <w:rFonts w:hint="eastAsia"/>
                <w:spacing w:val="-2"/>
                <w:highlight w:val="none"/>
                <w:u w:val="single"/>
              </w:rPr>
              <w:t>68378</w:t>
            </w:r>
            <w:r>
              <w:rPr>
                <w:rFonts w:hint="eastAsia"/>
                <w:sz w:val="28"/>
                <w:highlight w:val="none"/>
              </w:rPr>
              <w:t>㎡</w:t>
            </w:r>
          </w:p>
        </w:tc>
        <w:tc>
          <w:tcPr>
            <w:tcW w:w="1075" w:type="dxa"/>
            <w:vAlign w:val="center"/>
          </w:tcPr>
          <w:p>
            <w:pPr>
              <w:adjustRightInd w:val="0"/>
              <w:snapToGrid w:val="0"/>
              <w:spacing w:line="360" w:lineRule="auto"/>
              <w:jc w:val="center"/>
              <w:rPr>
                <w:sz w:val="28"/>
                <w:highlight w:val="none"/>
              </w:rPr>
            </w:pPr>
            <w:r>
              <w:rPr>
                <w:rFonts w:hint="eastAsia"/>
                <w:sz w:val="28"/>
                <w:highlight w:val="none"/>
              </w:rPr>
              <w:t>≤2.62</w:t>
            </w:r>
          </w:p>
        </w:tc>
        <w:tc>
          <w:tcPr>
            <w:tcW w:w="1774" w:type="dxa"/>
            <w:vAlign w:val="center"/>
          </w:tcPr>
          <w:p>
            <w:pPr>
              <w:adjustRightInd w:val="0"/>
              <w:snapToGrid w:val="0"/>
              <w:spacing w:line="360" w:lineRule="auto"/>
              <w:jc w:val="center"/>
              <w:rPr>
                <w:sz w:val="28"/>
                <w:highlight w:val="none"/>
              </w:rPr>
            </w:pPr>
            <w:r>
              <w:rPr>
                <w:rFonts w:hint="eastAsia"/>
                <w:spacing w:val="-2"/>
                <w:highlight w:val="none"/>
                <w:u w:val="single"/>
              </w:rPr>
              <w:t>179438.89</w:t>
            </w:r>
          </w:p>
        </w:tc>
        <w:tc>
          <w:tcPr>
            <w:tcW w:w="1296" w:type="dxa"/>
            <w:vAlign w:val="center"/>
          </w:tcPr>
          <w:p>
            <w:pPr>
              <w:adjustRightInd w:val="0"/>
              <w:snapToGrid w:val="0"/>
              <w:spacing w:line="360" w:lineRule="auto"/>
              <w:jc w:val="center"/>
              <w:rPr>
                <w:sz w:val="28"/>
                <w:highlight w:val="none"/>
              </w:rPr>
            </w:pPr>
            <w:r>
              <w:rPr>
                <w:rFonts w:hint="eastAsia"/>
                <w:sz w:val="28"/>
                <w:highlight w:val="none"/>
              </w:rPr>
              <w:t>≤40%</w:t>
            </w:r>
          </w:p>
        </w:tc>
        <w:tc>
          <w:tcPr>
            <w:tcW w:w="1038" w:type="dxa"/>
            <w:vAlign w:val="center"/>
          </w:tcPr>
          <w:p>
            <w:pPr>
              <w:adjustRightInd w:val="0"/>
              <w:snapToGrid w:val="0"/>
              <w:spacing w:line="360" w:lineRule="auto"/>
              <w:jc w:val="center"/>
              <w:rPr>
                <w:sz w:val="28"/>
                <w:highlight w:val="none"/>
              </w:rPr>
            </w:pPr>
            <w:r>
              <w:rPr>
                <w:rFonts w:hint="eastAsia"/>
                <w:sz w:val="28"/>
                <w:highlight w:val="none"/>
              </w:rPr>
              <w:t>30%</w:t>
            </w:r>
          </w:p>
        </w:tc>
        <w:tc>
          <w:tcPr>
            <w:tcW w:w="1362" w:type="dxa"/>
            <w:vAlign w:val="center"/>
          </w:tcPr>
          <w:p>
            <w:pPr>
              <w:adjustRightInd w:val="0"/>
              <w:snapToGrid w:val="0"/>
              <w:spacing w:line="360" w:lineRule="auto"/>
              <w:jc w:val="center"/>
              <w:rPr>
                <w:sz w:val="28"/>
                <w:highlight w:val="none"/>
              </w:rPr>
            </w:pPr>
            <w:r>
              <w:rPr>
                <w:rFonts w:hint="eastAsia"/>
                <w:sz w:val="28"/>
                <w:highlight w:val="none"/>
              </w:rPr>
              <w:t>≤70m</w:t>
            </w:r>
          </w:p>
        </w:tc>
        <w:tc>
          <w:tcPr>
            <w:tcW w:w="1760" w:type="dxa"/>
            <w:vAlign w:val="center"/>
          </w:tcPr>
          <w:p>
            <w:pPr>
              <w:adjustRightInd w:val="0"/>
              <w:snapToGrid w:val="0"/>
              <w:spacing w:line="360" w:lineRule="auto"/>
              <w:jc w:val="center"/>
              <w:rPr>
                <w:sz w:val="28"/>
                <w:highlight w:val="none"/>
              </w:rPr>
            </w:pPr>
            <w:r>
              <w:rPr>
                <w:rFonts w:hint="eastAsia"/>
                <w:sz w:val="28"/>
                <w:highlight w:val="none"/>
              </w:rPr>
              <w:t>10%</w:t>
            </w:r>
          </w:p>
        </w:tc>
      </w:tr>
    </w:tbl>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1" w:name="_Toc342057060"/>
      <w:bookmarkStart w:id="12" w:name="_Toc61017627"/>
      <w:bookmarkStart w:id="13" w:name="_Toc212523895"/>
      <w:bookmarkStart w:id="14" w:name="_Toc61006846"/>
      <w:bookmarkStart w:id="15" w:name="_Toc212525110"/>
      <w:r>
        <w:rPr>
          <w:rFonts w:hint="eastAsia" w:asciiTheme="majorEastAsia" w:hAnsiTheme="majorEastAsia" w:eastAsiaTheme="majorEastAsia"/>
          <w:highlight w:val="none"/>
        </w:rPr>
        <w:t>三、设计依据</w:t>
      </w:r>
      <w:bookmarkEnd w:id="11"/>
      <w:bookmarkEnd w:id="12"/>
      <w:bookmarkEnd w:id="13"/>
      <w:bookmarkEnd w:id="14"/>
      <w:bookmarkEnd w:id="15"/>
    </w:p>
    <w:p>
      <w:pPr>
        <w:adjustRightInd w:val="0"/>
        <w:snapToGrid w:val="0"/>
        <w:spacing w:line="360" w:lineRule="auto"/>
        <w:ind w:firstLine="560" w:firstLineChars="200"/>
        <w:jc w:val="left"/>
        <w:rPr>
          <w:sz w:val="28"/>
          <w:highlight w:val="none"/>
        </w:rPr>
      </w:pPr>
      <w:bookmarkStart w:id="16" w:name="_Toc342057061"/>
      <w:r>
        <w:rPr>
          <w:rFonts w:hint="eastAsia"/>
          <w:sz w:val="28"/>
          <w:highlight w:val="none"/>
        </w:rPr>
        <w:t>本任务书作为扩初施工图设计指导手册，是在国家相应标准及规范的基础之上，结合项目实际情况，对设计中的一般要求和常用做法进行必要的明确、补充和完善后编制而成。</w:t>
      </w:r>
    </w:p>
    <w:p>
      <w:pPr>
        <w:adjustRightInd w:val="0"/>
        <w:snapToGrid w:val="0"/>
        <w:spacing w:line="360" w:lineRule="auto"/>
        <w:ind w:firstLine="560" w:firstLineChars="200"/>
        <w:jc w:val="left"/>
        <w:rPr>
          <w:sz w:val="28"/>
          <w:highlight w:val="none"/>
        </w:rPr>
      </w:pPr>
      <w:r>
        <w:rPr>
          <w:rFonts w:hint="eastAsia"/>
          <w:sz w:val="28"/>
          <w:highlight w:val="none"/>
        </w:rPr>
        <w:t>国家及地方相关规范；</w:t>
      </w:r>
    </w:p>
    <w:p>
      <w:pPr>
        <w:adjustRightInd w:val="0"/>
        <w:snapToGrid w:val="0"/>
        <w:spacing w:line="360" w:lineRule="auto"/>
        <w:ind w:firstLine="560" w:firstLineChars="200"/>
        <w:jc w:val="left"/>
        <w:rPr>
          <w:sz w:val="28"/>
          <w:highlight w:val="none"/>
        </w:rPr>
      </w:pPr>
      <w:r>
        <w:rPr>
          <w:rFonts w:hint="eastAsia"/>
          <w:sz w:val="28"/>
          <w:highlight w:val="none"/>
        </w:rPr>
        <w:t>相关政府主管部门对本项目的批复文件、给定的技术条件和意见要求。</w:t>
      </w:r>
    </w:p>
    <w:p>
      <w:pPr>
        <w:adjustRightInd w:val="0"/>
        <w:snapToGrid w:val="0"/>
        <w:spacing w:line="360" w:lineRule="auto"/>
        <w:ind w:firstLine="560" w:firstLineChars="200"/>
        <w:jc w:val="left"/>
        <w:rPr>
          <w:sz w:val="28"/>
          <w:highlight w:val="none"/>
        </w:rPr>
      </w:pPr>
      <w:r>
        <w:rPr>
          <w:rFonts w:hint="eastAsia"/>
          <w:sz w:val="28"/>
          <w:highlight w:val="none"/>
        </w:rPr>
        <w:t>发包人提供的方案设计文件、实测地形图、项目用地周边市政管线资料、工程地质勘察报告和水文勘测资料等。</w:t>
      </w:r>
    </w:p>
    <w:p>
      <w:pPr>
        <w:adjustRightInd w:val="0"/>
        <w:snapToGrid w:val="0"/>
        <w:spacing w:line="360" w:lineRule="auto"/>
        <w:ind w:firstLine="560" w:firstLineChars="200"/>
        <w:jc w:val="left"/>
        <w:rPr>
          <w:sz w:val="28"/>
          <w:highlight w:val="none"/>
        </w:rPr>
      </w:pPr>
      <w:r>
        <w:rPr>
          <w:rFonts w:hint="eastAsia"/>
          <w:sz w:val="28"/>
          <w:highlight w:val="none"/>
        </w:rPr>
        <w:t>宗地红线图；</w:t>
      </w:r>
    </w:p>
    <w:p>
      <w:pPr>
        <w:adjustRightInd w:val="0"/>
        <w:snapToGrid w:val="0"/>
        <w:spacing w:line="360" w:lineRule="auto"/>
        <w:ind w:firstLine="560" w:firstLineChars="200"/>
        <w:jc w:val="left"/>
        <w:rPr>
          <w:sz w:val="28"/>
          <w:highlight w:val="none"/>
        </w:rPr>
      </w:pPr>
      <w:r>
        <w:rPr>
          <w:rFonts w:hint="eastAsia"/>
          <w:sz w:val="28"/>
          <w:highlight w:val="none"/>
        </w:rPr>
        <w:t>原始地形图；</w:t>
      </w:r>
    </w:p>
    <w:p>
      <w:pPr>
        <w:adjustRightInd w:val="0"/>
        <w:snapToGrid w:val="0"/>
        <w:spacing w:line="360" w:lineRule="auto"/>
        <w:ind w:firstLine="560" w:firstLineChars="200"/>
        <w:jc w:val="left"/>
        <w:rPr>
          <w:sz w:val="28"/>
          <w:highlight w:val="none"/>
        </w:rPr>
      </w:pPr>
      <w:r>
        <w:rPr>
          <w:rFonts w:hint="eastAsia"/>
          <w:sz w:val="28"/>
          <w:highlight w:val="none"/>
        </w:rPr>
        <w:t>用地规划条件；</w:t>
      </w:r>
    </w:p>
    <w:p>
      <w:pPr>
        <w:adjustRightInd w:val="0"/>
        <w:snapToGrid w:val="0"/>
        <w:spacing w:line="360" w:lineRule="auto"/>
        <w:ind w:firstLine="560" w:firstLineChars="200"/>
        <w:jc w:val="left"/>
        <w:rPr>
          <w:sz w:val="28"/>
          <w:highlight w:val="none"/>
        </w:rPr>
      </w:pPr>
      <w:r>
        <w:rPr>
          <w:rFonts w:hint="eastAsia"/>
          <w:sz w:val="28"/>
          <w:highlight w:val="none"/>
        </w:rPr>
        <w:t>片区控规资料；</w:t>
      </w:r>
    </w:p>
    <w:p>
      <w:pPr>
        <w:adjustRightInd w:val="0"/>
        <w:snapToGrid w:val="0"/>
        <w:spacing w:line="360" w:lineRule="auto"/>
        <w:ind w:firstLine="560" w:firstLineChars="200"/>
        <w:jc w:val="left"/>
        <w:rPr>
          <w:sz w:val="28"/>
          <w:highlight w:val="none"/>
        </w:rPr>
      </w:pPr>
      <w:r>
        <w:rPr>
          <w:rFonts w:hint="eastAsia"/>
          <w:sz w:val="28"/>
          <w:highlight w:val="none"/>
        </w:rPr>
        <w:t>气候水文资料；</w:t>
      </w:r>
    </w:p>
    <w:p>
      <w:pPr>
        <w:adjustRightInd w:val="0"/>
        <w:snapToGrid w:val="0"/>
        <w:spacing w:line="360" w:lineRule="auto"/>
        <w:ind w:firstLine="560" w:firstLineChars="200"/>
        <w:jc w:val="left"/>
        <w:rPr>
          <w:sz w:val="28"/>
          <w:highlight w:val="none"/>
        </w:rPr>
      </w:pPr>
      <w:r>
        <w:rPr>
          <w:rFonts w:hint="eastAsia"/>
          <w:sz w:val="28"/>
          <w:highlight w:val="none"/>
        </w:rPr>
        <w:t>业主</w:t>
      </w:r>
      <w:r>
        <w:rPr>
          <w:sz w:val="28"/>
          <w:highlight w:val="none"/>
        </w:rPr>
        <w:t>/</w:t>
      </w:r>
      <w:r>
        <w:rPr>
          <w:rFonts w:hint="eastAsia"/>
          <w:sz w:val="28"/>
          <w:highlight w:val="none"/>
        </w:rPr>
        <w:t>委托方出具的设计工作联系函、设计决策会议纪要、设计工作通知函及其他各类正式函件；</w:t>
      </w:r>
    </w:p>
    <w:p>
      <w:pPr>
        <w:adjustRightInd w:val="0"/>
        <w:snapToGrid w:val="0"/>
        <w:spacing w:line="360" w:lineRule="auto"/>
        <w:ind w:firstLine="560" w:firstLineChars="200"/>
        <w:jc w:val="left"/>
        <w:rPr>
          <w:sz w:val="28"/>
          <w:highlight w:val="none"/>
        </w:rPr>
      </w:pPr>
      <w:r>
        <w:rPr>
          <w:rFonts w:hint="eastAsia"/>
          <w:sz w:val="28"/>
          <w:highlight w:val="none"/>
        </w:rPr>
        <w:t>施工图设计合同及本设计任务书；</w:t>
      </w:r>
    </w:p>
    <w:p>
      <w:pPr>
        <w:adjustRightInd w:val="0"/>
        <w:snapToGrid w:val="0"/>
        <w:spacing w:line="360" w:lineRule="auto"/>
        <w:ind w:firstLine="560" w:firstLineChars="200"/>
        <w:jc w:val="left"/>
        <w:rPr>
          <w:sz w:val="28"/>
          <w:highlight w:val="none"/>
        </w:rPr>
      </w:pPr>
      <w:r>
        <w:rPr>
          <w:rFonts w:hint="eastAsia"/>
          <w:sz w:val="28"/>
          <w:highlight w:val="none"/>
        </w:rPr>
        <w:t>项目开发节点计划。</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7" w:name="_Toc61017628"/>
      <w:bookmarkStart w:id="18" w:name="_Toc61006847"/>
      <w:r>
        <w:rPr>
          <w:rFonts w:hint="eastAsia" w:asciiTheme="majorEastAsia" w:hAnsiTheme="majorEastAsia" w:eastAsiaTheme="majorEastAsia"/>
          <w:highlight w:val="none"/>
        </w:rPr>
        <w:t>四、设计内容</w:t>
      </w:r>
      <w:bookmarkEnd w:id="16"/>
      <w:bookmarkEnd w:id="17"/>
      <w:bookmarkEnd w:id="18"/>
    </w:p>
    <w:p>
      <w:pPr>
        <w:rPr>
          <w:highlight w:val="none"/>
        </w:rPr>
      </w:pPr>
    </w:p>
    <w:p>
      <w:pPr>
        <w:adjustRightInd w:val="0"/>
        <w:snapToGrid w:val="0"/>
        <w:spacing w:line="360" w:lineRule="auto"/>
        <w:ind w:firstLine="560" w:firstLineChars="200"/>
        <w:jc w:val="left"/>
        <w:rPr>
          <w:sz w:val="28"/>
          <w:highlight w:val="none"/>
        </w:rPr>
      </w:pPr>
      <w:r>
        <w:rPr>
          <w:rFonts w:hint="eastAsia"/>
          <w:sz w:val="28"/>
          <w:highlight w:val="none"/>
        </w:rPr>
        <w:t>承接白云区国铁棠溪站 AB2805001 地块项目的建筑设计单位，在施工图设计中应遵照本任务书，完成以下设计内容：</w:t>
      </w:r>
    </w:p>
    <w:p>
      <w:pPr>
        <w:adjustRightInd w:val="0"/>
        <w:snapToGrid w:val="0"/>
        <w:spacing w:line="360" w:lineRule="auto"/>
        <w:ind w:firstLine="560" w:firstLineChars="200"/>
        <w:jc w:val="left"/>
        <w:rPr>
          <w:sz w:val="28"/>
          <w:highlight w:val="none"/>
        </w:rPr>
      </w:pPr>
      <w:r>
        <w:rPr>
          <w:rFonts w:hint="eastAsia"/>
          <w:sz w:val="28"/>
          <w:highlight w:val="none"/>
        </w:rPr>
        <w:t>1、配合发包人进行方案深化，按照当地规范对方案提出修改建议，直至方案深化定稿，同时配合完成方案和施工图的报批报建的相关工作。</w:t>
      </w:r>
    </w:p>
    <w:p>
      <w:pPr>
        <w:adjustRightInd w:val="0"/>
        <w:snapToGrid w:val="0"/>
        <w:spacing w:line="360" w:lineRule="auto"/>
        <w:ind w:firstLine="560" w:firstLineChars="200"/>
        <w:jc w:val="left"/>
        <w:rPr>
          <w:sz w:val="28"/>
          <w:highlight w:val="none"/>
        </w:rPr>
      </w:pPr>
      <w:r>
        <w:rPr>
          <w:rFonts w:hint="eastAsia"/>
          <w:sz w:val="28"/>
          <w:highlight w:val="none"/>
        </w:rPr>
        <w:t>2、完成总图、建筑、结构、水、暖、电等各专业施工图设计。</w:t>
      </w:r>
    </w:p>
    <w:p>
      <w:pPr>
        <w:adjustRightInd w:val="0"/>
        <w:snapToGrid w:val="0"/>
        <w:spacing w:line="360" w:lineRule="auto"/>
        <w:ind w:firstLine="560" w:firstLineChars="200"/>
        <w:jc w:val="left"/>
        <w:rPr>
          <w:sz w:val="28"/>
          <w:highlight w:val="none"/>
        </w:rPr>
      </w:pPr>
      <w:r>
        <w:rPr>
          <w:rFonts w:hint="eastAsia"/>
          <w:sz w:val="28"/>
          <w:highlight w:val="none"/>
        </w:rPr>
        <w:t>3、按发包人要求完成室内管线综合图设计，并按照发包人提供的精装修方案做好点位预留。</w:t>
      </w:r>
    </w:p>
    <w:p>
      <w:pPr>
        <w:adjustRightInd w:val="0"/>
        <w:snapToGrid w:val="0"/>
        <w:spacing w:line="360" w:lineRule="auto"/>
        <w:ind w:firstLine="560" w:firstLineChars="200"/>
        <w:jc w:val="left"/>
        <w:rPr>
          <w:rFonts w:ascii="宋体" w:hAnsi="宋体" w:cs="宋体"/>
          <w:sz w:val="28"/>
          <w:szCs w:val="28"/>
          <w:highlight w:val="none"/>
        </w:rPr>
      </w:pPr>
      <w:r>
        <w:rPr>
          <w:rFonts w:hint="eastAsia" w:ascii="宋体" w:hAnsi="宋体" w:cs="宋体"/>
          <w:color w:val="333333"/>
          <w:sz w:val="28"/>
          <w:szCs w:val="28"/>
          <w:highlight w:val="none"/>
        </w:rPr>
        <w:t>4、完成超限工程抗震设防专项审查申报资料，并协助发包人报审直至审查通过。</w:t>
      </w:r>
    </w:p>
    <w:p>
      <w:pPr>
        <w:adjustRightInd w:val="0"/>
        <w:snapToGrid w:val="0"/>
        <w:spacing w:line="360" w:lineRule="auto"/>
        <w:ind w:firstLine="560" w:firstLineChars="200"/>
        <w:jc w:val="left"/>
        <w:rPr>
          <w:sz w:val="28"/>
          <w:highlight w:val="none"/>
        </w:rPr>
      </w:pPr>
      <w:r>
        <w:rPr>
          <w:rFonts w:hint="eastAsia"/>
          <w:sz w:val="28"/>
          <w:highlight w:val="none"/>
        </w:rPr>
        <w:t>5、在施工图设计时对各相关设计单位（幕墙、夜景照明、导向标识、弱电智能化、燃气、景观、智能化、异形结构、室内精装设计）的设计成果提出意见，在主体施工图设计时考虑各相关设计单位的预留条件。（按设计合同包含部分的二次深化设计）</w:t>
      </w:r>
    </w:p>
    <w:p>
      <w:pPr>
        <w:adjustRightInd w:val="0"/>
        <w:snapToGrid w:val="0"/>
        <w:spacing w:line="360" w:lineRule="auto"/>
        <w:ind w:firstLine="560" w:firstLineChars="200"/>
        <w:jc w:val="left"/>
        <w:rPr>
          <w:sz w:val="28"/>
          <w:highlight w:val="none"/>
        </w:rPr>
      </w:pPr>
      <w:r>
        <w:rPr>
          <w:rFonts w:hint="eastAsia"/>
          <w:sz w:val="28"/>
          <w:highlight w:val="none"/>
        </w:rPr>
        <w:t>6、建筑单体施工图设计，完成报建版施工图图纸，直至报建完成和通过审批。报建版施工图在满足国家及地方相关规范的前提下，应考虑业主最终实施以及改造的可能性。报建版施工图应尽量减小业主最终实施或改造施工的工程量以及相应的费用。</w:t>
      </w:r>
    </w:p>
    <w:p>
      <w:pPr>
        <w:adjustRightInd w:val="0"/>
        <w:snapToGrid w:val="0"/>
        <w:spacing w:line="360" w:lineRule="auto"/>
        <w:ind w:firstLine="560" w:firstLineChars="200"/>
        <w:jc w:val="left"/>
        <w:rPr>
          <w:sz w:val="28"/>
          <w:highlight w:val="none"/>
        </w:rPr>
      </w:pPr>
      <w:r>
        <w:rPr>
          <w:rFonts w:hint="eastAsia"/>
          <w:sz w:val="28"/>
          <w:highlight w:val="none"/>
        </w:rPr>
        <w:t>7、在施工图设计完成后，协助发包人对各专项设计和各专业二次深化设计进行审核（二次深化设计应以施工图设计图纸为设计依据）。</w:t>
      </w:r>
    </w:p>
    <w:p>
      <w:pPr>
        <w:adjustRightInd w:val="0"/>
        <w:snapToGrid w:val="0"/>
        <w:spacing w:line="360" w:lineRule="auto"/>
        <w:ind w:firstLine="560" w:firstLineChars="200"/>
        <w:jc w:val="left"/>
        <w:rPr>
          <w:sz w:val="28"/>
          <w:highlight w:val="none"/>
        </w:rPr>
      </w:pPr>
      <w:r>
        <w:rPr>
          <w:rFonts w:hint="eastAsia"/>
          <w:sz w:val="28"/>
          <w:highlight w:val="none"/>
        </w:rPr>
        <w:t>8、完成建筑面积及各项指标的统计与核对。</w:t>
      </w:r>
    </w:p>
    <w:p>
      <w:pPr>
        <w:adjustRightInd w:val="0"/>
        <w:snapToGrid w:val="0"/>
        <w:spacing w:line="360" w:lineRule="auto"/>
        <w:ind w:firstLine="560" w:firstLineChars="200"/>
        <w:jc w:val="left"/>
        <w:rPr>
          <w:sz w:val="28"/>
          <w:highlight w:val="none"/>
        </w:rPr>
      </w:pPr>
      <w:r>
        <w:rPr>
          <w:rFonts w:hint="eastAsia"/>
          <w:sz w:val="28"/>
          <w:highlight w:val="none"/>
        </w:rPr>
        <w:t>9、根据需要，配合发包人完成对新技术新材料应用的研究及方案比对工作。配合发包人在施工期的设计变更及成本优化设计工作。发包人有权聘请专业的第三方优化公司对项目进行设计成本优化，对于专业公司提出的合理</w:t>
      </w:r>
      <w:r>
        <w:rPr>
          <w:rFonts w:hint="eastAsia" w:asciiTheme="majorEastAsia" w:hAnsiTheme="majorEastAsia" w:eastAsiaTheme="majorEastAsia"/>
          <w:sz w:val="28"/>
          <w:highlight w:val="none"/>
        </w:rPr>
        <w:t>合规的</w:t>
      </w:r>
      <w:r>
        <w:rPr>
          <w:rFonts w:hint="eastAsia"/>
          <w:sz w:val="28"/>
          <w:highlight w:val="none"/>
        </w:rPr>
        <w:t>优化意见，施工图设计单位需接受并配合修改。</w:t>
      </w:r>
    </w:p>
    <w:p>
      <w:pPr>
        <w:adjustRightInd w:val="0"/>
        <w:snapToGrid w:val="0"/>
        <w:spacing w:line="360" w:lineRule="auto"/>
        <w:ind w:firstLine="560" w:firstLineChars="200"/>
        <w:jc w:val="left"/>
        <w:rPr>
          <w:sz w:val="28"/>
          <w:highlight w:val="none"/>
        </w:rPr>
      </w:pPr>
      <w:r>
        <w:rPr>
          <w:rFonts w:hint="eastAsia"/>
          <w:sz w:val="28"/>
          <w:highlight w:val="none"/>
        </w:rPr>
        <w:t>10、对轨道上盖物业深入研究，给出可行性减振措施，并应用于施工图设计。</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r>
        <w:rPr>
          <w:rFonts w:hint="eastAsia" w:asciiTheme="majorEastAsia" w:hAnsiTheme="majorEastAsia" w:eastAsiaTheme="majorEastAsia"/>
          <w:highlight w:val="none"/>
        </w:rPr>
        <w:t>五、限额设计</w:t>
      </w:r>
    </w:p>
    <w:p>
      <w:pPr>
        <w:ind w:firstLine="560" w:firstLineChars="200"/>
        <w:rPr>
          <w:sz w:val="28"/>
          <w:highlight w:val="none"/>
        </w:rPr>
      </w:pPr>
      <w:r>
        <w:rPr>
          <w:rFonts w:hint="eastAsia"/>
          <w:sz w:val="28"/>
          <w:highlight w:val="none"/>
        </w:rPr>
        <w:t>本项目含钢量及含砼量要求如下：</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832"/>
        <w:gridCol w:w="2552"/>
        <w:gridCol w:w="2404"/>
        <w:gridCol w:w="2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0229" w:type="dxa"/>
            <w:gridSpan w:val="5"/>
            <w:noWrap/>
          </w:tcPr>
          <w:p>
            <w:pPr>
              <w:spacing w:line="360" w:lineRule="auto"/>
              <w:jc w:val="center"/>
              <w:rPr>
                <w:rFonts w:ascii="仿宋" w:hAnsi="仿宋" w:eastAsia="仿宋"/>
                <w:highlight w:val="none"/>
              </w:rPr>
            </w:pPr>
            <w:r>
              <w:rPr>
                <w:rFonts w:hint="eastAsia" w:ascii="仿宋" w:hAnsi="仿宋" w:eastAsia="仿宋"/>
                <w:highlight w:val="none"/>
              </w:rPr>
              <w:t>结构设计限额指标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17" w:type="dxa"/>
            <w:noWrap/>
          </w:tcPr>
          <w:p>
            <w:pPr>
              <w:spacing w:line="360" w:lineRule="auto"/>
              <w:ind w:firstLine="420" w:firstLineChars="200"/>
              <w:rPr>
                <w:rFonts w:ascii="仿宋" w:hAnsi="仿宋" w:eastAsia="仿宋"/>
                <w:highlight w:val="none"/>
              </w:rPr>
            </w:pPr>
            <w:r>
              <w:rPr>
                <w:rFonts w:hint="eastAsia" w:ascii="仿宋" w:hAnsi="仿宋" w:eastAsia="仿宋"/>
                <w:highlight w:val="none"/>
              </w:rPr>
              <w:t>　</w:t>
            </w:r>
          </w:p>
        </w:tc>
        <w:tc>
          <w:tcPr>
            <w:tcW w:w="1901" w:type="dxa"/>
            <w:noWrap/>
          </w:tcPr>
          <w:p>
            <w:pPr>
              <w:spacing w:line="360" w:lineRule="auto"/>
              <w:jc w:val="center"/>
              <w:rPr>
                <w:rFonts w:ascii="仿宋" w:hAnsi="仿宋" w:eastAsia="仿宋"/>
                <w:highlight w:val="none"/>
              </w:rPr>
            </w:pPr>
          </w:p>
        </w:tc>
        <w:tc>
          <w:tcPr>
            <w:tcW w:w="2652" w:type="dxa"/>
            <w:noWrap/>
          </w:tcPr>
          <w:p>
            <w:pPr>
              <w:spacing w:line="360" w:lineRule="auto"/>
              <w:jc w:val="center"/>
              <w:rPr>
                <w:rFonts w:ascii="仿宋" w:hAnsi="仿宋" w:eastAsia="仿宋"/>
                <w:highlight w:val="none"/>
              </w:rPr>
            </w:pPr>
            <w:r>
              <w:rPr>
                <w:rFonts w:hint="eastAsia" w:ascii="仿宋" w:hAnsi="仿宋" w:eastAsia="仿宋"/>
                <w:highlight w:val="none"/>
              </w:rPr>
              <w:t>办公（层高3.5）</w:t>
            </w:r>
          </w:p>
        </w:tc>
        <w:tc>
          <w:tcPr>
            <w:tcW w:w="2497" w:type="dxa"/>
            <w:noWrap/>
          </w:tcPr>
          <w:p>
            <w:pPr>
              <w:spacing w:line="360" w:lineRule="auto"/>
              <w:jc w:val="center"/>
              <w:rPr>
                <w:rFonts w:ascii="仿宋" w:hAnsi="仿宋" w:eastAsia="仿宋"/>
                <w:highlight w:val="none"/>
              </w:rPr>
            </w:pPr>
            <w:r>
              <w:rPr>
                <w:rFonts w:hint="eastAsia" w:ascii="仿宋" w:hAnsi="仿宋" w:eastAsia="仿宋"/>
                <w:highlight w:val="none"/>
              </w:rPr>
              <w:t>办公（层高4.5）</w:t>
            </w:r>
          </w:p>
        </w:tc>
        <w:tc>
          <w:tcPr>
            <w:tcW w:w="2362" w:type="dxa"/>
            <w:noWrap/>
          </w:tcPr>
          <w:p>
            <w:pPr>
              <w:spacing w:line="360" w:lineRule="auto"/>
              <w:jc w:val="center"/>
              <w:rPr>
                <w:rFonts w:ascii="仿宋" w:hAnsi="仿宋" w:eastAsia="仿宋"/>
                <w:highlight w:val="none"/>
              </w:rPr>
            </w:pPr>
            <w:r>
              <w:rPr>
                <w:rFonts w:hint="eastAsia" w:ascii="仿宋" w:hAnsi="仿宋" w:eastAsia="仿宋"/>
                <w:highlight w:val="none"/>
              </w:rPr>
              <w:t>商业（层高5.0）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817" w:type="dxa"/>
            <w:vMerge w:val="restart"/>
          </w:tcPr>
          <w:p>
            <w:pPr>
              <w:spacing w:line="360" w:lineRule="auto"/>
              <w:rPr>
                <w:rFonts w:ascii="仿宋" w:hAnsi="仿宋" w:eastAsia="仿宋"/>
                <w:highlight w:val="none"/>
              </w:rPr>
            </w:pPr>
            <w:r>
              <w:rPr>
                <w:rFonts w:hint="eastAsia" w:ascii="仿宋" w:hAnsi="仿宋" w:eastAsia="仿宋"/>
                <w:highlight w:val="none"/>
              </w:rPr>
              <w:t>含量指 标</w:t>
            </w:r>
          </w:p>
        </w:tc>
        <w:tc>
          <w:tcPr>
            <w:tcW w:w="1901" w:type="dxa"/>
          </w:tcPr>
          <w:p>
            <w:pPr>
              <w:spacing w:line="360" w:lineRule="auto"/>
              <w:jc w:val="center"/>
              <w:rPr>
                <w:rFonts w:ascii="仿宋" w:hAnsi="仿宋" w:eastAsia="仿宋"/>
                <w:highlight w:val="none"/>
              </w:rPr>
            </w:pPr>
            <w:r>
              <w:rPr>
                <w:rFonts w:hint="eastAsia" w:ascii="仿宋" w:hAnsi="仿宋" w:eastAsia="仿宋"/>
                <w:highlight w:val="none"/>
              </w:rPr>
              <w:t>钢筋（kg/m</w:t>
            </w:r>
            <w:r>
              <w:rPr>
                <w:rFonts w:hint="eastAsia" w:ascii="仿宋" w:hAnsi="仿宋" w:eastAsia="仿宋"/>
                <w:highlight w:val="none"/>
                <w:vertAlign w:val="superscript"/>
              </w:rPr>
              <w:t>2</w:t>
            </w:r>
            <w:r>
              <w:rPr>
                <w:rFonts w:hint="eastAsia" w:ascii="仿宋" w:hAnsi="仿宋" w:eastAsia="仿宋"/>
                <w:highlight w:val="none"/>
              </w:rPr>
              <w:t>）</w:t>
            </w:r>
          </w:p>
        </w:tc>
        <w:tc>
          <w:tcPr>
            <w:tcW w:w="2652" w:type="dxa"/>
          </w:tcPr>
          <w:p>
            <w:pPr>
              <w:spacing w:line="360" w:lineRule="auto"/>
              <w:jc w:val="center"/>
              <w:rPr>
                <w:rFonts w:ascii="仿宋" w:hAnsi="仿宋" w:eastAsia="仿宋"/>
                <w:highlight w:val="none"/>
              </w:rPr>
            </w:pPr>
            <w:r>
              <w:rPr>
                <w:rFonts w:hint="eastAsia" w:ascii="仿宋" w:hAnsi="仿宋" w:eastAsia="仿宋"/>
                <w:highlight w:val="none"/>
              </w:rPr>
              <w:t>45.00</w:t>
            </w:r>
          </w:p>
        </w:tc>
        <w:tc>
          <w:tcPr>
            <w:tcW w:w="2497" w:type="dxa"/>
          </w:tcPr>
          <w:p>
            <w:pPr>
              <w:spacing w:line="360" w:lineRule="auto"/>
              <w:jc w:val="center"/>
              <w:rPr>
                <w:rFonts w:ascii="仿宋" w:hAnsi="仿宋" w:eastAsia="仿宋"/>
                <w:highlight w:val="none"/>
              </w:rPr>
            </w:pPr>
            <w:r>
              <w:rPr>
                <w:rFonts w:hint="eastAsia" w:ascii="仿宋" w:hAnsi="仿宋" w:eastAsia="仿宋"/>
                <w:highlight w:val="none"/>
              </w:rPr>
              <w:t>55.00</w:t>
            </w:r>
          </w:p>
        </w:tc>
        <w:tc>
          <w:tcPr>
            <w:tcW w:w="2362" w:type="dxa"/>
          </w:tcPr>
          <w:p>
            <w:pPr>
              <w:spacing w:line="360" w:lineRule="auto"/>
              <w:jc w:val="center"/>
              <w:rPr>
                <w:rFonts w:ascii="仿宋" w:hAnsi="仿宋" w:eastAsia="仿宋"/>
                <w:highlight w:val="none"/>
              </w:rPr>
            </w:pPr>
            <w:r>
              <w:rPr>
                <w:rFonts w:hint="eastAsia" w:ascii="仿宋" w:hAnsi="仿宋" w:eastAsia="仿宋"/>
                <w:highlight w:val="none"/>
              </w:rPr>
              <w:t>58.00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7" w:type="dxa"/>
            <w:vMerge w:val="continue"/>
          </w:tcPr>
          <w:p>
            <w:pPr>
              <w:spacing w:line="360" w:lineRule="auto"/>
              <w:ind w:firstLine="420" w:firstLineChars="200"/>
              <w:rPr>
                <w:rFonts w:ascii="仿宋" w:hAnsi="仿宋" w:eastAsia="仿宋"/>
                <w:highlight w:val="none"/>
              </w:rPr>
            </w:pPr>
          </w:p>
        </w:tc>
        <w:tc>
          <w:tcPr>
            <w:tcW w:w="1901" w:type="dxa"/>
          </w:tcPr>
          <w:p>
            <w:pPr>
              <w:spacing w:line="360" w:lineRule="auto"/>
              <w:jc w:val="center"/>
              <w:rPr>
                <w:rFonts w:ascii="仿宋" w:hAnsi="仿宋" w:eastAsia="仿宋"/>
                <w:highlight w:val="none"/>
              </w:rPr>
            </w:pPr>
            <w:r>
              <w:rPr>
                <w:rFonts w:hint="eastAsia" w:ascii="仿宋" w:hAnsi="仿宋" w:eastAsia="仿宋"/>
                <w:highlight w:val="none"/>
              </w:rPr>
              <w:t>砼(m</w:t>
            </w:r>
            <w:r>
              <w:rPr>
                <w:rFonts w:hint="eastAsia" w:ascii="仿宋" w:hAnsi="仿宋" w:eastAsia="仿宋"/>
                <w:highlight w:val="none"/>
                <w:vertAlign w:val="superscript"/>
              </w:rPr>
              <w:t>3</w:t>
            </w:r>
            <w:r>
              <w:rPr>
                <w:rFonts w:hint="eastAsia" w:ascii="仿宋" w:hAnsi="仿宋" w:eastAsia="仿宋"/>
                <w:highlight w:val="none"/>
              </w:rPr>
              <w:t>/m</w:t>
            </w:r>
            <w:r>
              <w:rPr>
                <w:rFonts w:hint="eastAsia" w:ascii="仿宋" w:hAnsi="仿宋" w:eastAsia="仿宋"/>
                <w:highlight w:val="none"/>
                <w:vertAlign w:val="superscript"/>
              </w:rPr>
              <w:t>2</w:t>
            </w:r>
            <w:r>
              <w:rPr>
                <w:rFonts w:hint="eastAsia" w:ascii="仿宋" w:hAnsi="仿宋" w:eastAsia="仿宋"/>
                <w:highlight w:val="none"/>
              </w:rPr>
              <w:t>)</w:t>
            </w:r>
          </w:p>
        </w:tc>
        <w:tc>
          <w:tcPr>
            <w:tcW w:w="2652" w:type="dxa"/>
          </w:tcPr>
          <w:p>
            <w:pPr>
              <w:spacing w:line="360" w:lineRule="auto"/>
              <w:jc w:val="center"/>
              <w:rPr>
                <w:rFonts w:ascii="仿宋" w:hAnsi="仿宋" w:eastAsia="仿宋"/>
                <w:highlight w:val="none"/>
              </w:rPr>
            </w:pPr>
            <w:r>
              <w:rPr>
                <w:rFonts w:hint="eastAsia" w:ascii="仿宋" w:hAnsi="仿宋" w:eastAsia="仿宋"/>
                <w:highlight w:val="none"/>
              </w:rPr>
              <w:t>0.29</w:t>
            </w:r>
          </w:p>
        </w:tc>
        <w:tc>
          <w:tcPr>
            <w:tcW w:w="2497" w:type="dxa"/>
          </w:tcPr>
          <w:p>
            <w:pPr>
              <w:spacing w:line="360" w:lineRule="auto"/>
              <w:jc w:val="center"/>
              <w:rPr>
                <w:rFonts w:ascii="仿宋" w:hAnsi="仿宋" w:eastAsia="仿宋"/>
                <w:highlight w:val="none"/>
              </w:rPr>
            </w:pPr>
            <w:r>
              <w:rPr>
                <w:rFonts w:hint="eastAsia" w:ascii="仿宋" w:hAnsi="仿宋" w:eastAsia="仿宋"/>
                <w:highlight w:val="none"/>
              </w:rPr>
              <w:t>0.31</w:t>
            </w:r>
          </w:p>
        </w:tc>
        <w:tc>
          <w:tcPr>
            <w:tcW w:w="2362" w:type="dxa"/>
          </w:tcPr>
          <w:p>
            <w:pPr>
              <w:spacing w:line="360" w:lineRule="auto"/>
              <w:jc w:val="center"/>
              <w:rPr>
                <w:rFonts w:ascii="仿宋" w:hAnsi="仿宋" w:eastAsia="仿宋"/>
                <w:highlight w:val="none"/>
              </w:rPr>
            </w:pPr>
            <w:r>
              <w:rPr>
                <w:rFonts w:hint="eastAsia" w:ascii="仿宋" w:hAnsi="仿宋" w:eastAsia="仿宋"/>
                <w:highlight w:val="none"/>
              </w:rPr>
              <w:t>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229" w:type="dxa"/>
            <w:gridSpan w:val="5"/>
            <w:vMerge w:val="restart"/>
          </w:tcPr>
          <w:p>
            <w:pPr>
              <w:spacing w:line="360" w:lineRule="auto"/>
              <w:rPr>
                <w:rFonts w:ascii="仿宋" w:hAnsi="仿宋" w:eastAsia="仿宋"/>
                <w:highlight w:val="none"/>
              </w:rPr>
            </w:pPr>
            <w:r>
              <w:rPr>
                <w:rFonts w:hint="eastAsia" w:ascii="仿宋" w:hAnsi="仿宋" w:eastAsia="仿宋"/>
                <w:highlight w:val="none"/>
              </w:rPr>
              <w:t xml:space="preserve"> </w:t>
            </w:r>
            <w:r>
              <w:rPr>
                <w:rFonts w:ascii="仿宋" w:hAnsi="仿宋" w:eastAsia="仿宋"/>
                <w:highlight w:val="none"/>
              </w:rPr>
              <w:t>1</w:t>
            </w:r>
            <w:r>
              <w:rPr>
                <w:rFonts w:hint="eastAsia" w:ascii="仿宋" w:hAnsi="仿宋" w:eastAsia="仿宋"/>
                <w:highlight w:val="none"/>
              </w:rPr>
              <w:t xml:space="preserve">、面积统计口径：面积为项目建筑面积。                                           </w:t>
            </w:r>
          </w:p>
          <w:p>
            <w:pPr>
              <w:spacing w:line="360" w:lineRule="auto"/>
              <w:rPr>
                <w:rFonts w:ascii="仿宋" w:hAnsi="仿宋" w:eastAsia="仿宋"/>
                <w:highlight w:val="none"/>
              </w:rPr>
            </w:pPr>
            <w:r>
              <w:rPr>
                <w:rFonts w:hint="eastAsia" w:ascii="仿宋" w:hAnsi="仿宋" w:eastAsia="仿宋"/>
                <w:highlight w:val="none"/>
              </w:rPr>
              <w:t xml:space="preserve"> 2、</w:t>
            </w:r>
            <w:r>
              <w:rPr>
                <w:rFonts w:ascii="Calibri" w:hAnsi="Calibri" w:eastAsia="仿宋" w:cs="Calibri"/>
                <w:highlight w:val="none"/>
              </w:rPr>
              <w:t> </w:t>
            </w:r>
            <w:r>
              <w:rPr>
                <w:rFonts w:hint="eastAsia" w:ascii="仿宋" w:hAnsi="仿宋" w:eastAsia="仿宋"/>
                <w:highlight w:val="none"/>
              </w:rPr>
              <w:t xml:space="preserve">材料统计口径： </w:t>
            </w:r>
            <w:r>
              <w:rPr>
                <w:rFonts w:hint="eastAsia" w:ascii="仿宋" w:hAnsi="仿宋" w:eastAsia="仿宋"/>
                <w:highlight w:val="none"/>
              </w:rPr>
              <w:br w:type="textWrapping"/>
            </w:r>
            <w:r>
              <w:rPr>
                <w:rFonts w:hint="eastAsia" w:ascii="仿宋" w:hAnsi="仿宋" w:eastAsia="仿宋"/>
                <w:highlight w:val="none"/>
              </w:rPr>
              <w:t>1）含梁、板、柱、剪力墙、楼梯、飘窗、结构拉板、结构线角的钢筋混凝土用量；</w:t>
            </w:r>
            <w:r>
              <w:rPr>
                <w:rFonts w:hint="eastAsia" w:ascii="仿宋" w:hAnsi="仿宋" w:eastAsia="仿宋"/>
                <w:highlight w:val="none"/>
              </w:rPr>
              <w:br w:type="textWrapping"/>
            </w:r>
            <w:r>
              <w:rPr>
                <w:rFonts w:hint="eastAsia" w:ascii="仿宋" w:hAnsi="仿宋" w:eastAsia="仿宋"/>
                <w:highlight w:val="none"/>
              </w:rPr>
              <w:t>2）不含二次结构（圈梁、构造柱、非受力砼墙等）的钢筋混凝土；</w:t>
            </w:r>
            <w:r>
              <w:rPr>
                <w:rFonts w:hint="eastAsia" w:ascii="仿宋" w:hAnsi="仿宋" w:eastAsia="仿宋"/>
                <w:highlight w:val="none"/>
              </w:rPr>
              <w:br w:type="textWrapping"/>
            </w:r>
            <w:r>
              <w:rPr>
                <w:rFonts w:hint="eastAsia" w:ascii="仿宋" w:hAnsi="仿宋" w:eastAsia="仿宋"/>
                <w:highlight w:val="none"/>
              </w:rPr>
              <w:t>3）钢筋不含：措施筋、预埋件、损耗，PC隔墙钢筋、砌体拉结筋、楼地面及屋面的建筑面层内的钢筋网；</w:t>
            </w:r>
            <w:r>
              <w:rPr>
                <w:rFonts w:hint="eastAsia" w:ascii="仿宋" w:hAnsi="仿宋" w:eastAsia="仿宋"/>
                <w:highlight w:val="none"/>
              </w:rPr>
              <w:br w:type="textWrapping"/>
            </w:r>
            <w:r>
              <w:rPr>
                <w:rFonts w:hint="eastAsia" w:ascii="仿宋" w:hAnsi="仿宋" w:eastAsia="仿宋"/>
                <w:highlight w:val="none"/>
              </w:rPr>
              <w:t>4）混凝土不含：基础垫层、防水材料保护层、楼地面及屋面建筑做法的面层、PC隔墙、防渗漏的混凝土反坎、用于配重或填充的素砼。</w:t>
            </w:r>
          </w:p>
          <w:p>
            <w:pPr>
              <w:spacing w:line="360" w:lineRule="auto"/>
              <w:rPr>
                <w:rFonts w:ascii="仿宋" w:hAnsi="仿宋" w:eastAsia="仿宋"/>
                <w:highlight w:val="none"/>
              </w:rPr>
            </w:pPr>
            <w:r>
              <w:rPr>
                <w:rFonts w:ascii="仿宋" w:hAnsi="仿宋" w:eastAsia="仿宋"/>
                <w:highlight w:val="none"/>
              </w:rPr>
              <w:t>3、层高调整：层高以结构层高为准，当结构层高超过5m时，每增加0.1m，含钢量限额增加0.1kg/m2,砼限额增加0.05m3/m2；</w:t>
            </w:r>
          </w:p>
          <w:p>
            <w:pPr>
              <w:spacing w:line="360" w:lineRule="auto"/>
              <w:rPr>
                <w:rFonts w:ascii="仿宋" w:hAnsi="仿宋" w:eastAsia="仿宋"/>
                <w:highlight w:val="none"/>
              </w:rPr>
            </w:pPr>
            <w:r>
              <w:rPr>
                <w:rFonts w:ascii="仿宋" w:hAnsi="仿宋" w:eastAsia="仿宋"/>
                <w:highlight w:val="none"/>
              </w:rPr>
              <w:t>4、商业首层结构架空地板做法涉及到的圈梁、构造柱、预制板、挡墙等的钢筋和砼量不含在内。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9" w:hRule="atLeast"/>
          <w:jc w:val="center"/>
        </w:trPr>
        <w:tc>
          <w:tcPr>
            <w:tcW w:w="10229" w:type="dxa"/>
            <w:gridSpan w:val="5"/>
            <w:vMerge w:val="continue"/>
          </w:tcPr>
          <w:p>
            <w:pPr>
              <w:spacing w:line="360" w:lineRule="auto"/>
              <w:ind w:firstLine="420" w:firstLineChars="200"/>
              <w:rPr>
                <w:rFonts w:ascii="仿宋" w:hAnsi="仿宋" w:eastAsia="仿宋"/>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0229" w:type="dxa"/>
            <w:gridSpan w:val="5"/>
            <w:vMerge w:val="continue"/>
          </w:tcPr>
          <w:p>
            <w:pPr>
              <w:spacing w:line="360" w:lineRule="auto"/>
              <w:ind w:firstLine="420" w:firstLineChars="200"/>
              <w:rPr>
                <w:rFonts w:ascii="仿宋" w:hAnsi="仿宋" w:eastAsia="仿宋"/>
                <w:highlight w:val="none"/>
              </w:rPr>
            </w:pPr>
          </w:p>
        </w:tc>
      </w:tr>
    </w:tbl>
    <w:p>
      <w:pPr>
        <w:pStyle w:val="2"/>
        <w:rPr>
          <w:highlight w:val="none"/>
        </w:rPr>
      </w:pPr>
    </w:p>
    <w:p>
      <w:pPr>
        <w:rPr>
          <w:rFonts w:eastAsiaTheme="majorEastAsia"/>
          <w:highlight w:val="none"/>
        </w:rPr>
      </w:pPr>
    </w:p>
    <w:p>
      <w:pPr>
        <w:rPr>
          <w:sz w:val="28"/>
          <w:highlight w:val="none"/>
        </w:rPr>
      </w:pPr>
      <w:r>
        <w:rPr>
          <w:rFonts w:hint="eastAsia"/>
          <w:sz w:val="28"/>
          <w:highlight w:val="none"/>
        </w:rPr>
        <w:t xml:space="preserve">   </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9" w:name="_Toc342057063"/>
      <w:bookmarkStart w:id="20" w:name="_Toc61017629"/>
      <w:bookmarkStart w:id="21" w:name="_Toc61006848"/>
      <w:bookmarkStart w:id="22" w:name="_Toc212523897"/>
      <w:bookmarkStart w:id="23" w:name="_Toc212525112"/>
      <w:r>
        <w:rPr>
          <w:rFonts w:hint="eastAsia" w:asciiTheme="majorEastAsia" w:hAnsiTheme="majorEastAsia" w:eastAsiaTheme="majorEastAsia"/>
          <w:highlight w:val="none"/>
        </w:rPr>
        <w:t>六、建造标准</w:t>
      </w:r>
      <w:bookmarkEnd w:id="19"/>
      <w:bookmarkEnd w:id="20"/>
      <w:bookmarkEnd w:id="21"/>
    </w:p>
    <w:p>
      <w:pPr>
        <w:adjustRightInd w:val="0"/>
        <w:snapToGrid w:val="0"/>
        <w:spacing w:line="360" w:lineRule="auto"/>
        <w:ind w:firstLine="560" w:firstLineChars="200"/>
        <w:jc w:val="left"/>
        <w:rPr>
          <w:sz w:val="28"/>
          <w:highlight w:val="none"/>
        </w:rPr>
      </w:pPr>
      <w:bookmarkStart w:id="24" w:name="_Toc61006849"/>
      <w:r>
        <w:rPr>
          <w:rFonts w:hint="eastAsia"/>
          <w:sz w:val="28"/>
          <w:highlight w:val="none"/>
        </w:rPr>
        <w:t>该项目办公及公共区均按精装交楼标准设计，配套商业按毛坯交楼标准设计，详细的交楼标准详附件一。建筑施工图设计按照毛坯标准进行图纸设计表达，按常规或者业主明确的装修尺寸进行毛坯与精装修的装饰层和点位预留。</w:t>
      </w:r>
      <w:bookmarkEnd w:id="24"/>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5" w:name="_Toc61017630"/>
      <w:bookmarkStart w:id="26" w:name="_Toc61006850"/>
      <w:bookmarkStart w:id="27" w:name="_Toc342057065"/>
      <w:r>
        <w:rPr>
          <w:rFonts w:hint="eastAsia" w:asciiTheme="majorEastAsia" w:hAnsiTheme="majorEastAsia" w:eastAsiaTheme="majorEastAsia"/>
          <w:highlight w:val="none"/>
        </w:rPr>
        <w:t>七、图纸要求</w:t>
      </w:r>
      <w:bookmarkEnd w:id="22"/>
      <w:bookmarkEnd w:id="23"/>
      <w:bookmarkEnd w:id="25"/>
      <w:bookmarkEnd w:id="26"/>
      <w:bookmarkEnd w:id="27"/>
    </w:p>
    <w:p>
      <w:pPr>
        <w:adjustRightInd w:val="0"/>
        <w:snapToGrid w:val="0"/>
        <w:spacing w:line="360" w:lineRule="auto"/>
        <w:ind w:firstLine="560" w:firstLineChars="200"/>
        <w:jc w:val="left"/>
        <w:rPr>
          <w:sz w:val="28"/>
          <w:highlight w:val="none"/>
        </w:rPr>
      </w:pPr>
      <w:bookmarkStart w:id="28" w:name="_Toc61006851"/>
      <w:bookmarkStart w:id="29" w:name="_Toc341861670"/>
      <w:bookmarkStart w:id="30" w:name="_Toc341862256"/>
      <w:bookmarkStart w:id="31" w:name="_Toc341861219"/>
      <w:bookmarkStart w:id="32" w:name="_Toc212525113"/>
      <w:bookmarkStart w:id="33" w:name="_Toc212523898"/>
      <w:bookmarkStart w:id="34" w:name="_Toc27617"/>
      <w:bookmarkStart w:id="35" w:name="_Toc342057066"/>
      <w:r>
        <w:rPr>
          <w:rFonts w:hint="eastAsia"/>
          <w:sz w:val="28"/>
          <w:highlight w:val="none"/>
        </w:rPr>
        <w:t>1、工程名称：</w:t>
      </w:r>
      <w:bookmarkEnd w:id="28"/>
      <w:bookmarkEnd w:id="29"/>
      <w:bookmarkEnd w:id="30"/>
      <w:bookmarkEnd w:id="31"/>
      <w:bookmarkEnd w:id="32"/>
      <w:bookmarkEnd w:id="33"/>
      <w:bookmarkEnd w:id="34"/>
      <w:bookmarkEnd w:id="35"/>
      <w:r>
        <w:rPr>
          <w:rFonts w:hint="eastAsia"/>
          <w:sz w:val="28"/>
          <w:highlight w:val="none"/>
        </w:rPr>
        <w:t>白云区国铁棠溪站 AB2805001 地块项目设计施工总承包工程</w:t>
      </w:r>
    </w:p>
    <w:p>
      <w:pPr>
        <w:adjustRightInd w:val="0"/>
        <w:snapToGrid w:val="0"/>
        <w:spacing w:line="360" w:lineRule="auto"/>
        <w:ind w:firstLine="560" w:firstLineChars="200"/>
        <w:jc w:val="left"/>
        <w:rPr>
          <w:sz w:val="28"/>
          <w:highlight w:val="none"/>
        </w:rPr>
      </w:pPr>
      <w:bookmarkStart w:id="36" w:name="_Toc341862257"/>
      <w:bookmarkStart w:id="37" w:name="_Toc341861220"/>
      <w:bookmarkStart w:id="38" w:name="_Toc342057067"/>
      <w:bookmarkStart w:id="39" w:name="_Toc454"/>
      <w:bookmarkStart w:id="40" w:name="_Toc341861671"/>
      <w:bookmarkStart w:id="41" w:name="_Toc212525114"/>
      <w:bookmarkStart w:id="42" w:name="_Toc212523899"/>
      <w:bookmarkStart w:id="43" w:name="_Toc61006852"/>
      <w:r>
        <w:rPr>
          <w:rFonts w:hint="eastAsia"/>
          <w:sz w:val="28"/>
          <w:highlight w:val="none"/>
        </w:rPr>
        <w:t>2、图面要求：各专业图纸规格应按有关制图规范并尽量做到统一，图纸表达内容应清晰明确，构图美观整洁。</w:t>
      </w:r>
      <w:bookmarkEnd w:id="36"/>
      <w:bookmarkEnd w:id="37"/>
      <w:bookmarkEnd w:id="38"/>
      <w:bookmarkEnd w:id="39"/>
      <w:bookmarkEnd w:id="40"/>
      <w:bookmarkEnd w:id="41"/>
      <w:bookmarkEnd w:id="42"/>
      <w:bookmarkEnd w:id="43"/>
    </w:p>
    <w:p>
      <w:pPr>
        <w:adjustRightInd w:val="0"/>
        <w:snapToGrid w:val="0"/>
        <w:spacing w:line="360" w:lineRule="auto"/>
        <w:ind w:firstLine="560" w:firstLineChars="200"/>
        <w:jc w:val="left"/>
        <w:rPr>
          <w:sz w:val="28"/>
          <w:highlight w:val="none"/>
        </w:rPr>
      </w:pPr>
      <w:r>
        <w:rPr>
          <w:rFonts w:hint="eastAsia"/>
          <w:sz w:val="28"/>
          <w:highlight w:val="none"/>
        </w:rPr>
        <w:t>2.1 建筑如由多个分区组成，应提供分区拼接示意图，清晰表达各分区的界限和衔接关系。各分区边界的确定应做到各专业清晰、合理、统一。</w:t>
      </w:r>
    </w:p>
    <w:p>
      <w:pPr>
        <w:adjustRightInd w:val="0"/>
        <w:snapToGrid w:val="0"/>
        <w:spacing w:line="360" w:lineRule="auto"/>
        <w:ind w:firstLine="560" w:firstLineChars="200"/>
        <w:jc w:val="left"/>
        <w:rPr>
          <w:sz w:val="28"/>
          <w:highlight w:val="none"/>
        </w:rPr>
      </w:pPr>
      <w:bookmarkStart w:id="44" w:name="OLE_LINK1"/>
      <w:r>
        <w:rPr>
          <w:rFonts w:hint="eastAsia"/>
          <w:sz w:val="28"/>
          <w:highlight w:val="none"/>
        </w:rPr>
        <w:t>2.2 图纸表达按照国家相关制图标准或高于国家标准进行，相应的标注及详图应尽量详尽明确。</w:t>
      </w:r>
      <w:bookmarkEnd w:id="44"/>
      <w:r>
        <w:rPr>
          <w:sz w:val="28"/>
          <w:highlight w:val="none"/>
        </w:rPr>
        <w:t>(</w:t>
      </w:r>
      <w:r>
        <w:rPr>
          <w:rFonts w:hint="eastAsia"/>
          <w:sz w:val="28"/>
          <w:highlight w:val="none"/>
        </w:rPr>
        <w:t>比如：应清晰表示出墙体构造、隔墙厚度及定位尺寸、门窗洞口尺寸、阳台、挑板尺寸、洁具摆放及空调机预留洞口位置、地面降板位置相对标高、卫生间排水坡度等</w:t>
      </w:r>
      <w:r>
        <w:rPr>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2.3 各专业应仔细核查图纸索引位置、标高及尺寸标注情况；建筑墙身索引应在平、立面清晰标注，应设计与表达建筑各不同位置处的墙身大样图，避免由于个别部位缺少大样详图导致的施工错误。同时各专业图纸应反复互相校核，避免各专业图纸不对应的情况，消防箱、配电箱等设备设施位置或者留洞、留槽必须在建筑平面图中反应。</w:t>
      </w:r>
    </w:p>
    <w:p>
      <w:pPr>
        <w:adjustRightInd w:val="0"/>
        <w:snapToGrid w:val="0"/>
        <w:spacing w:line="360" w:lineRule="auto"/>
        <w:ind w:firstLine="560" w:firstLineChars="200"/>
        <w:jc w:val="left"/>
        <w:rPr>
          <w:sz w:val="28"/>
          <w:highlight w:val="none"/>
        </w:rPr>
      </w:pPr>
      <w:r>
        <w:rPr>
          <w:rFonts w:hint="eastAsia"/>
          <w:sz w:val="28"/>
          <w:highlight w:val="none"/>
        </w:rPr>
        <w:t>2.4 设计单位应详细复核项目桩基及转换柱荷载预留，若预留荷载足够，项目应优先采用钢筋砼剪力墙结构。若预留荷载不足，可采用钢结构体系，结构梁、板、柱交接处须设计方提供明确的设计说明与节点做法，且应充分考虑施工便利性。</w:t>
      </w:r>
    </w:p>
    <w:p>
      <w:pPr>
        <w:adjustRightInd w:val="0"/>
        <w:snapToGrid w:val="0"/>
        <w:spacing w:line="360" w:lineRule="auto"/>
        <w:ind w:firstLine="560" w:firstLineChars="200"/>
        <w:jc w:val="left"/>
        <w:rPr>
          <w:sz w:val="28"/>
          <w:highlight w:val="none"/>
        </w:rPr>
      </w:pPr>
      <w:r>
        <w:rPr>
          <w:rFonts w:hint="eastAsia"/>
          <w:sz w:val="28"/>
          <w:highlight w:val="none"/>
        </w:rPr>
        <w:t>2.5 本项目建设在18米盖板上，故不涉及地下室工程，但在施工图设计时应按照发包人要求完成各建筑核心筒内电梯基坑、盖板预留扶梯位置、四大金刚衔接以及与10米平台的交通衔接工程图纸等。屋顶平面图中，必须标示所有屋顶设备设施、出屋面管井、管道的位置等。同时按业主确认的方案要求对部分屋顶进行绿化。</w:t>
      </w:r>
    </w:p>
    <w:p>
      <w:pPr>
        <w:adjustRightInd w:val="0"/>
        <w:snapToGrid w:val="0"/>
        <w:spacing w:line="360" w:lineRule="auto"/>
        <w:ind w:firstLine="560" w:firstLineChars="200"/>
        <w:jc w:val="left"/>
        <w:rPr>
          <w:sz w:val="28"/>
          <w:highlight w:val="none"/>
        </w:rPr>
      </w:pPr>
      <w:r>
        <w:rPr>
          <w:rFonts w:hint="eastAsia"/>
          <w:sz w:val="28"/>
          <w:highlight w:val="none"/>
        </w:rPr>
        <w:t>2.6 设计说明应有绿建专篇、消防专篇、（若项目有装配式建筑，还须有装配式建筑专篇），满足报批报建要求。根据广东省住房和城乡建设厅下发的《广东省绿色建筑量质齐升三年行动方案（2018～2020年）》的通知》，“建筑面积大于2万平方米的大型公共建筑等应当按照二星级及以上绿色建筑标准进行设计和建设”，本项目应按绿建二星级进行设计。</w:t>
      </w:r>
    </w:p>
    <w:p>
      <w:pPr>
        <w:adjustRightInd w:val="0"/>
        <w:snapToGrid w:val="0"/>
        <w:spacing w:line="360" w:lineRule="auto"/>
        <w:ind w:firstLine="560" w:firstLineChars="200"/>
        <w:jc w:val="left"/>
        <w:rPr>
          <w:sz w:val="28"/>
          <w:highlight w:val="none"/>
        </w:rPr>
      </w:pPr>
      <w:r>
        <w:rPr>
          <w:rFonts w:hint="eastAsia"/>
          <w:sz w:val="28"/>
          <w:highlight w:val="none"/>
        </w:rPr>
        <w:t>2.7 应提供门窗详图和门窗统计表，清晰表示出门窗尺寸，窗型分格和开启扇位置方向，型材与玻璃的标注，并应和立面图统一，配合幕墙和泛光深化单位完成深化图纸审核，并完成相关预留预埋工作。</w:t>
      </w:r>
    </w:p>
    <w:p>
      <w:pPr>
        <w:adjustRightInd w:val="0"/>
        <w:snapToGrid w:val="0"/>
        <w:spacing w:line="360" w:lineRule="auto"/>
        <w:ind w:firstLine="560" w:firstLineChars="200"/>
        <w:jc w:val="left"/>
        <w:rPr>
          <w:sz w:val="28"/>
          <w:highlight w:val="none"/>
        </w:rPr>
      </w:pPr>
      <w:r>
        <w:rPr>
          <w:rFonts w:hint="eastAsia"/>
          <w:sz w:val="28"/>
          <w:highlight w:val="none"/>
        </w:rPr>
        <w:t>2.8 正式出图前应提供发包人校审用电子图及白图；正式出图图纸按设计合同要求提供。施工图版本较多，应合理组织图纸的标识方式（如各专业标识方式统一、表明版次、修改日期、各专业主要修改内容等），以便于识别版本与图纸类别。</w:t>
      </w:r>
    </w:p>
    <w:p>
      <w:pPr>
        <w:adjustRightInd w:val="0"/>
        <w:snapToGrid w:val="0"/>
        <w:spacing w:line="360" w:lineRule="auto"/>
        <w:ind w:firstLine="560" w:firstLineChars="200"/>
        <w:jc w:val="left"/>
        <w:rPr>
          <w:sz w:val="28"/>
          <w:highlight w:val="none"/>
        </w:rPr>
      </w:pPr>
      <w:r>
        <w:rPr>
          <w:rFonts w:hint="eastAsia"/>
          <w:sz w:val="28"/>
          <w:highlight w:val="none"/>
        </w:rPr>
        <w:t>2.9 电子文件方面的说明：</w:t>
      </w:r>
    </w:p>
    <w:p>
      <w:pPr>
        <w:adjustRightInd w:val="0"/>
        <w:snapToGrid w:val="0"/>
        <w:spacing w:line="360" w:lineRule="auto"/>
        <w:ind w:firstLine="560" w:firstLineChars="200"/>
        <w:jc w:val="left"/>
        <w:rPr>
          <w:sz w:val="28"/>
          <w:highlight w:val="none"/>
        </w:rPr>
      </w:pPr>
      <w:r>
        <w:rPr>
          <w:rFonts w:hint="eastAsia"/>
          <w:sz w:val="28"/>
          <w:highlight w:val="none"/>
        </w:rPr>
        <w:t>2.9.1 设计方必须提供相应的电子文件。电子文件在文件编排组织上要清晰、明确、简捷、易辨识，并符合相关国家及地方规范。</w:t>
      </w:r>
    </w:p>
    <w:p>
      <w:pPr>
        <w:adjustRightInd w:val="0"/>
        <w:snapToGrid w:val="0"/>
        <w:spacing w:line="360" w:lineRule="auto"/>
        <w:ind w:firstLine="560" w:firstLineChars="200"/>
        <w:jc w:val="left"/>
        <w:rPr>
          <w:sz w:val="28"/>
          <w:highlight w:val="none"/>
        </w:rPr>
      </w:pPr>
      <w:r>
        <w:rPr>
          <w:rFonts w:hint="eastAsia"/>
          <w:sz w:val="28"/>
          <w:highlight w:val="none"/>
        </w:rPr>
        <w:t>2.9.2 在设计过程中，设计方在计算面积时所框选的复线（</w:t>
      </w:r>
      <w:r>
        <w:rPr>
          <w:sz w:val="28"/>
          <w:highlight w:val="none"/>
        </w:rPr>
        <w:t>Pline</w:t>
      </w:r>
      <w:r>
        <w:rPr>
          <w:rFonts w:hint="eastAsia"/>
          <w:sz w:val="28"/>
          <w:highlight w:val="none"/>
        </w:rPr>
        <w:t>线），包括套内面积计算的</w:t>
      </w:r>
      <w:r>
        <w:rPr>
          <w:sz w:val="28"/>
          <w:highlight w:val="none"/>
        </w:rPr>
        <w:t>Pline</w:t>
      </w:r>
      <w:r>
        <w:rPr>
          <w:rFonts w:hint="eastAsia"/>
          <w:sz w:val="28"/>
          <w:highlight w:val="none"/>
        </w:rPr>
        <w:t>线，仍要保留在图中，并移动至施工图纸外侧。计算面积的图层颜色要符合项目当地测绘部门的要求。</w:t>
      </w:r>
    </w:p>
    <w:p>
      <w:pPr>
        <w:adjustRightInd w:val="0"/>
        <w:snapToGrid w:val="0"/>
        <w:spacing w:line="360" w:lineRule="auto"/>
        <w:ind w:firstLine="560" w:firstLineChars="200"/>
        <w:jc w:val="left"/>
        <w:rPr>
          <w:sz w:val="28"/>
          <w:highlight w:val="none"/>
        </w:rPr>
      </w:pPr>
      <w:bookmarkStart w:id="45" w:name="_Toc341862258"/>
      <w:bookmarkStart w:id="46" w:name="_Toc342057068"/>
      <w:bookmarkStart w:id="47" w:name="_Toc341861221"/>
      <w:bookmarkStart w:id="48" w:name="_Toc61006853"/>
      <w:bookmarkStart w:id="49" w:name="_Toc19591"/>
      <w:bookmarkStart w:id="50" w:name="_Toc212523901"/>
      <w:bookmarkStart w:id="51" w:name="_Toc212525116"/>
      <w:bookmarkStart w:id="52" w:name="_Toc341861672"/>
      <w:r>
        <w:rPr>
          <w:rFonts w:hint="eastAsia"/>
          <w:sz w:val="28"/>
          <w:highlight w:val="none"/>
        </w:rPr>
        <w:t>3、其他要求：</w:t>
      </w:r>
      <w:bookmarkEnd w:id="45"/>
      <w:bookmarkEnd w:id="46"/>
      <w:bookmarkEnd w:id="47"/>
      <w:bookmarkEnd w:id="48"/>
      <w:bookmarkEnd w:id="49"/>
      <w:bookmarkEnd w:id="50"/>
      <w:bookmarkEnd w:id="51"/>
      <w:bookmarkEnd w:id="52"/>
    </w:p>
    <w:p>
      <w:pPr>
        <w:adjustRightInd w:val="0"/>
        <w:snapToGrid w:val="0"/>
        <w:spacing w:line="360" w:lineRule="auto"/>
        <w:ind w:firstLine="560" w:firstLineChars="200"/>
        <w:jc w:val="left"/>
        <w:rPr>
          <w:sz w:val="28"/>
          <w:highlight w:val="none"/>
        </w:rPr>
      </w:pPr>
      <w:r>
        <w:rPr>
          <w:rFonts w:hint="eastAsia"/>
          <w:sz w:val="28"/>
          <w:highlight w:val="none"/>
        </w:rPr>
        <w:t>3.1 自接本设计任务书之日起，</w:t>
      </w:r>
      <w:r>
        <w:rPr>
          <w:sz w:val="28"/>
          <w:highlight w:val="none"/>
        </w:rPr>
        <w:t>3</w:t>
      </w:r>
      <w:r>
        <w:rPr>
          <w:rFonts w:hint="eastAsia"/>
          <w:sz w:val="28"/>
          <w:highlight w:val="none"/>
        </w:rPr>
        <w:t>个工作日内建成项目团队，指定项目总负责人和主要协调人，并将本项目的设计计划日程表及设计人员配置表（各专业负责人及工作组主要人员应注明职务、职称及工作年限等信息）、联系方式（办公电话、手机号码、电子邮箱）传至发包人设计管理部。</w:t>
      </w:r>
    </w:p>
    <w:p>
      <w:pPr>
        <w:adjustRightInd w:val="0"/>
        <w:snapToGrid w:val="0"/>
        <w:spacing w:line="360" w:lineRule="auto"/>
        <w:ind w:firstLine="560" w:firstLineChars="200"/>
        <w:jc w:val="left"/>
        <w:rPr>
          <w:sz w:val="28"/>
          <w:highlight w:val="none"/>
        </w:rPr>
      </w:pPr>
      <w:r>
        <w:rPr>
          <w:rFonts w:hint="eastAsia"/>
          <w:sz w:val="28"/>
          <w:highlight w:val="none"/>
        </w:rPr>
        <w:t>3.2 施工图设计单位应在</w:t>
      </w:r>
      <w:r>
        <w:rPr>
          <w:sz w:val="28"/>
          <w:highlight w:val="none"/>
        </w:rPr>
        <w:t>3</w:t>
      </w:r>
      <w:r>
        <w:rPr>
          <w:rFonts w:hint="eastAsia"/>
          <w:sz w:val="28"/>
          <w:highlight w:val="none"/>
        </w:rPr>
        <w:t>个工作日内对发包人提供的建筑设计方案进行深入研究，复核桩基预留荷载是否足够，并从施工技术层面加以分析，及时发现问题并提出合理的解决方案，报发包人研究后确定修改意见。</w:t>
      </w:r>
    </w:p>
    <w:p>
      <w:pPr>
        <w:adjustRightInd w:val="0"/>
        <w:snapToGrid w:val="0"/>
        <w:spacing w:line="360" w:lineRule="auto"/>
        <w:ind w:firstLine="560" w:firstLineChars="200"/>
        <w:jc w:val="left"/>
        <w:rPr>
          <w:sz w:val="28"/>
          <w:highlight w:val="none"/>
        </w:rPr>
      </w:pPr>
      <w:r>
        <w:rPr>
          <w:rFonts w:hint="eastAsia"/>
          <w:sz w:val="28"/>
          <w:highlight w:val="none"/>
        </w:rPr>
        <w:t>3.3 施工图设计阶段设计方召开项目例会，应通知发包人项目设计部门负责人参加会议，根据情况重大问题可提供项目例会记录单至发包人存档。</w:t>
      </w:r>
    </w:p>
    <w:p>
      <w:pPr>
        <w:adjustRightInd w:val="0"/>
        <w:snapToGrid w:val="0"/>
        <w:spacing w:line="360" w:lineRule="auto"/>
        <w:ind w:firstLine="560" w:firstLineChars="200"/>
        <w:jc w:val="left"/>
        <w:rPr>
          <w:sz w:val="28"/>
          <w:highlight w:val="none"/>
        </w:rPr>
      </w:pPr>
      <w:r>
        <w:rPr>
          <w:rFonts w:hint="eastAsia"/>
          <w:sz w:val="28"/>
          <w:highlight w:val="none"/>
        </w:rPr>
        <w:t>3.4 设计图纸应满足当地节能、消防要求，并提供各专业相应计算书。</w:t>
      </w:r>
    </w:p>
    <w:p>
      <w:pPr>
        <w:adjustRightInd w:val="0"/>
        <w:snapToGrid w:val="0"/>
        <w:spacing w:line="360" w:lineRule="auto"/>
        <w:ind w:firstLine="560" w:firstLineChars="200"/>
        <w:jc w:val="left"/>
        <w:rPr>
          <w:sz w:val="28"/>
          <w:highlight w:val="none"/>
        </w:rPr>
      </w:pPr>
      <w:r>
        <w:rPr>
          <w:rFonts w:hint="eastAsia"/>
          <w:sz w:val="28"/>
          <w:highlight w:val="none"/>
        </w:rPr>
        <w:t>3.5 若项目为边设计边施工，为满足施工进度要求，设计图纸需分批出图，具体出图时间节点由发包人根据项目开发计划确定。</w:t>
      </w:r>
    </w:p>
    <w:p>
      <w:pPr>
        <w:adjustRightInd w:val="0"/>
        <w:snapToGrid w:val="0"/>
        <w:spacing w:line="360" w:lineRule="auto"/>
        <w:ind w:firstLine="560" w:firstLineChars="200"/>
        <w:jc w:val="left"/>
        <w:rPr>
          <w:sz w:val="28"/>
          <w:highlight w:val="none"/>
        </w:rPr>
      </w:pPr>
      <w:r>
        <w:rPr>
          <w:rFonts w:hint="eastAsia"/>
          <w:sz w:val="28"/>
          <w:highlight w:val="none"/>
        </w:rPr>
        <w:t>3.6 施工图设计前，设计单位应配合发包人与施工图（含抗震、超限等）审查单位沟通设计做法，以确保施工图审查顺利通过。</w:t>
      </w:r>
    </w:p>
    <w:p>
      <w:pPr>
        <w:adjustRightInd w:val="0"/>
        <w:snapToGrid w:val="0"/>
        <w:spacing w:line="360" w:lineRule="auto"/>
        <w:ind w:firstLine="560" w:firstLineChars="200"/>
        <w:jc w:val="left"/>
        <w:rPr>
          <w:sz w:val="28"/>
          <w:highlight w:val="none"/>
        </w:rPr>
      </w:pPr>
      <w:r>
        <w:rPr>
          <w:rFonts w:hint="eastAsia"/>
          <w:sz w:val="28"/>
          <w:highlight w:val="none"/>
        </w:rPr>
        <w:t>3.7 施工图设计前应根据发包人开发计划要求编制其《设计进度计划》及《统一设计技术措施》，并报送发包人批准。</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53" w:name="_Toc61017631"/>
      <w:bookmarkStart w:id="54" w:name="_Toc61006854"/>
      <w:bookmarkStart w:id="55" w:name="_Toc212525117"/>
      <w:bookmarkStart w:id="56" w:name="_Toc342057069"/>
      <w:bookmarkStart w:id="57" w:name="_Toc212523902"/>
      <w:r>
        <w:rPr>
          <w:rFonts w:hint="eastAsia" w:asciiTheme="majorEastAsia" w:hAnsiTheme="majorEastAsia" w:eastAsiaTheme="majorEastAsia"/>
          <w:highlight w:val="none"/>
        </w:rPr>
        <w:t>八、内容说明</w:t>
      </w:r>
      <w:bookmarkEnd w:id="53"/>
      <w:bookmarkEnd w:id="54"/>
      <w:bookmarkEnd w:id="55"/>
      <w:bookmarkEnd w:id="56"/>
      <w:bookmarkEnd w:id="57"/>
    </w:p>
    <w:p>
      <w:pPr>
        <w:adjustRightInd w:val="0"/>
        <w:snapToGrid w:val="0"/>
        <w:spacing w:line="360" w:lineRule="auto"/>
        <w:ind w:firstLine="560" w:firstLineChars="200"/>
        <w:jc w:val="left"/>
        <w:rPr>
          <w:sz w:val="28"/>
          <w:highlight w:val="none"/>
        </w:rPr>
      </w:pPr>
      <w:bookmarkStart w:id="58" w:name="_Toc341861674"/>
      <w:bookmarkStart w:id="59" w:name="_Toc61006855"/>
      <w:bookmarkStart w:id="60" w:name="_Toc342057070"/>
      <w:bookmarkStart w:id="61" w:name="_Toc6156"/>
      <w:bookmarkStart w:id="62" w:name="_Toc215549825"/>
      <w:bookmarkStart w:id="63" w:name="_Toc341861223"/>
      <w:bookmarkStart w:id="64" w:name="_Toc215550022"/>
      <w:bookmarkStart w:id="65" w:name="_Toc341862260"/>
      <w:r>
        <w:rPr>
          <w:rFonts w:hint="eastAsia"/>
          <w:sz w:val="28"/>
          <w:highlight w:val="none"/>
        </w:rPr>
        <w:t>1、本任务书主要表述了发包人对于广州白云（棠溪）站上盖物业各部分施工图设计的具体要求，提供了发包人惯用的一些特定做法，一般常用做法不再详细说明，请各专业工程师在本项目的施工图设计阶段予以落实。</w:t>
      </w:r>
      <w:bookmarkEnd w:id="58"/>
      <w:bookmarkEnd w:id="59"/>
      <w:bookmarkEnd w:id="60"/>
      <w:bookmarkEnd w:id="61"/>
      <w:bookmarkEnd w:id="62"/>
      <w:bookmarkEnd w:id="63"/>
      <w:bookmarkEnd w:id="64"/>
      <w:bookmarkEnd w:id="65"/>
    </w:p>
    <w:p>
      <w:pPr>
        <w:adjustRightInd w:val="0"/>
        <w:snapToGrid w:val="0"/>
        <w:spacing w:line="360" w:lineRule="auto"/>
        <w:ind w:firstLine="560" w:firstLineChars="200"/>
        <w:jc w:val="left"/>
        <w:rPr>
          <w:sz w:val="28"/>
          <w:highlight w:val="none"/>
        </w:rPr>
      </w:pPr>
      <w:bookmarkStart w:id="66" w:name="_Toc341861675"/>
      <w:bookmarkStart w:id="67" w:name="_Toc341862261"/>
      <w:bookmarkStart w:id="68" w:name="_Toc61006856"/>
      <w:bookmarkStart w:id="69" w:name="_Toc215549826"/>
      <w:bookmarkStart w:id="70" w:name="_Toc341861224"/>
      <w:bookmarkStart w:id="71" w:name="_Toc215550023"/>
      <w:bookmarkStart w:id="72" w:name="_Toc5950"/>
      <w:bookmarkStart w:id="73" w:name="_Toc342057071"/>
      <w:r>
        <w:rPr>
          <w:rFonts w:hint="eastAsia"/>
          <w:sz w:val="28"/>
          <w:highlight w:val="none"/>
        </w:rPr>
        <w:t>2、项目设计负责人应保证各专业工程师认真阅读本任务书及投资公司相关设计指引，相关各专业发生矛盾时，以建筑专业为依据，进行各专业的相应调整。</w:t>
      </w:r>
      <w:bookmarkEnd w:id="66"/>
      <w:bookmarkEnd w:id="67"/>
      <w:bookmarkEnd w:id="68"/>
      <w:bookmarkEnd w:id="69"/>
      <w:bookmarkEnd w:id="70"/>
      <w:bookmarkEnd w:id="71"/>
      <w:bookmarkEnd w:id="72"/>
      <w:bookmarkEnd w:id="73"/>
    </w:p>
    <w:p>
      <w:pPr>
        <w:adjustRightInd w:val="0"/>
        <w:snapToGrid w:val="0"/>
        <w:spacing w:line="360" w:lineRule="auto"/>
        <w:ind w:firstLine="560" w:firstLineChars="200"/>
        <w:jc w:val="left"/>
        <w:rPr>
          <w:sz w:val="28"/>
          <w:highlight w:val="none"/>
        </w:rPr>
      </w:pPr>
      <w:bookmarkStart w:id="74" w:name="_Toc341861676"/>
      <w:bookmarkStart w:id="75" w:name="_Toc26483"/>
      <w:bookmarkStart w:id="76" w:name="_Toc341861225"/>
      <w:bookmarkStart w:id="77" w:name="_Toc215550024"/>
      <w:bookmarkStart w:id="78" w:name="_Toc341862262"/>
      <w:bookmarkStart w:id="79" w:name="_Toc342057072"/>
      <w:bookmarkStart w:id="80" w:name="_Toc61006857"/>
      <w:bookmarkStart w:id="81" w:name="_Toc215549827"/>
      <w:r>
        <w:rPr>
          <w:rFonts w:hint="eastAsia"/>
          <w:sz w:val="28"/>
          <w:highlight w:val="none"/>
        </w:rPr>
        <w:t>3、本任务书与国家或地方现行规范有冲突时以现行规范为准，设计单位需提前将冲突内容照会发包人后，方可执行。</w:t>
      </w:r>
      <w:bookmarkEnd w:id="74"/>
      <w:bookmarkEnd w:id="75"/>
      <w:bookmarkEnd w:id="76"/>
      <w:bookmarkEnd w:id="77"/>
      <w:bookmarkEnd w:id="78"/>
      <w:bookmarkEnd w:id="79"/>
      <w:bookmarkEnd w:id="80"/>
      <w:bookmarkEnd w:id="81"/>
    </w:p>
    <w:p>
      <w:pPr>
        <w:adjustRightInd w:val="0"/>
        <w:snapToGrid w:val="0"/>
        <w:spacing w:line="360" w:lineRule="auto"/>
        <w:ind w:firstLine="560" w:firstLineChars="200"/>
        <w:jc w:val="left"/>
        <w:rPr>
          <w:sz w:val="28"/>
          <w:highlight w:val="none"/>
        </w:rPr>
      </w:pPr>
      <w:bookmarkStart w:id="82" w:name="_Toc215549828"/>
      <w:bookmarkStart w:id="83" w:name="_Toc342057073"/>
      <w:bookmarkStart w:id="84" w:name="_Toc341862263"/>
      <w:bookmarkStart w:id="85" w:name="_Toc1640"/>
      <w:bookmarkStart w:id="86" w:name="_Toc215550025"/>
      <w:bookmarkStart w:id="87" w:name="_Toc341861677"/>
      <w:bookmarkStart w:id="88" w:name="_Toc341861226"/>
      <w:bookmarkStart w:id="89" w:name="_Toc61006858"/>
      <w:r>
        <w:rPr>
          <w:rFonts w:hint="eastAsia"/>
          <w:sz w:val="28"/>
          <w:highlight w:val="none"/>
        </w:rPr>
        <w:t>4、图纸绘制深度按国家标准、地方有关规定及发包人要求执行</w:t>
      </w:r>
      <w:bookmarkEnd w:id="82"/>
      <w:bookmarkEnd w:id="83"/>
      <w:bookmarkEnd w:id="84"/>
      <w:bookmarkEnd w:id="85"/>
      <w:bookmarkEnd w:id="86"/>
      <w:bookmarkEnd w:id="87"/>
      <w:bookmarkEnd w:id="88"/>
      <w:r>
        <w:rPr>
          <w:rFonts w:hint="eastAsia"/>
          <w:sz w:val="28"/>
          <w:highlight w:val="none"/>
        </w:rPr>
        <w:t>。</w:t>
      </w:r>
      <w:bookmarkEnd w:id="89"/>
    </w:p>
    <w:p>
      <w:pPr>
        <w:adjustRightInd w:val="0"/>
        <w:snapToGrid w:val="0"/>
        <w:spacing w:line="360" w:lineRule="auto"/>
        <w:ind w:firstLine="560" w:firstLineChars="200"/>
        <w:jc w:val="left"/>
        <w:rPr>
          <w:sz w:val="28"/>
          <w:highlight w:val="none"/>
        </w:rPr>
      </w:pPr>
      <w:bookmarkStart w:id="90" w:name="_Toc61006859"/>
      <w:r>
        <w:rPr>
          <w:rFonts w:hint="eastAsia"/>
          <w:sz w:val="28"/>
          <w:highlight w:val="none"/>
        </w:rPr>
        <w:t>5、施工图设计需要举行例会，讨论相应阶段图纸问题。例会频次根据项目设计进度及工期要求而定。发包人召集的会议，设计方应由项目负责人及具体设计人员参会。设计院应在会议前作好准备，提供最新设计图纸及相关设计问题，以备开会研讨、定案。</w:t>
      </w:r>
      <w:bookmarkEnd w:id="90"/>
    </w:p>
    <w:p>
      <w:pPr>
        <w:adjustRightInd w:val="0"/>
        <w:snapToGrid w:val="0"/>
        <w:spacing w:line="360" w:lineRule="auto"/>
        <w:ind w:firstLine="560" w:firstLineChars="200"/>
        <w:jc w:val="left"/>
        <w:rPr>
          <w:sz w:val="28"/>
          <w:highlight w:val="none"/>
        </w:rPr>
      </w:pPr>
      <w:bookmarkStart w:id="91" w:name="_Toc61006860"/>
      <w:r>
        <w:rPr>
          <w:rFonts w:hint="eastAsia"/>
          <w:sz w:val="28"/>
          <w:highlight w:val="none"/>
        </w:rPr>
        <w:t>6、设计单位应严格按照双方会审确定后的任务书进行施工图设计，编制人对任务书的内容负责并进行解释。</w:t>
      </w:r>
      <w:bookmarkEnd w:id="91"/>
    </w:p>
    <w:p>
      <w:pPr>
        <w:pStyle w:val="4"/>
        <w:numPr>
          <w:ilvl w:val="0"/>
          <w:numId w:val="0"/>
        </w:numPr>
        <w:adjustRightInd w:val="0"/>
        <w:snapToGrid w:val="0"/>
        <w:spacing w:before="0" w:after="0" w:line="300" w:lineRule="auto"/>
        <w:jc w:val="center"/>
        <w:rPr>
          <w:rFonts w:asciiTheme="majorEastAsia" w:hAnsiTheme="majorEastAsia" w:eastAsiaTheme="majorEastAsia"/>
          <w:sz w:val="36"/>
          <w:szCs w:val="36"/>
          <w:highlight w:val="none"/>
        </w:rPr>
      </w:pPr>
      <w:bookmarkStart w:id="92" w:name="_Toc61006863"/>
      <w:bookmarkStart w:id="93" w:name="_Toc61017633"/>
      <w:bookmarkStart w:id="94" w:name="_Toc342057075"/>
    </w:p>
    <w:p>
      <w:pPr>
        <w:pStyle w:val="4"/>
        <w:numPr>
          <w:ilvl w:val="0"/>
          <w:numId w:val="0"/>
        </w:numPr>
        <w:adjustRightInd w:val="0"/>
        <w:snapToGrid w:val="0"/>
        <w:spacing w:before="0" w:after="0" w:line="300" w:lineRule="auto"/>
        <w:jc w:val="center"/>
        <w:rPr>
          <w:rFonts w:asciiTheme="majorEastAsia" w:hAnsiTheme="majorEastAsia" w:eastAsiaTheme="majorEastAsia"/>
          <w:sz w:val="36"/>
          <w:szCs w:val="36"/>
          <w:highlight w:val="none"/>
        </w:rPr>
      </w:pPr>
      <w:r>
        <w:rPr>
          <w:rFonts w:hint="eastAsia" w:asciiTheme="majorEastAsia" w:hAnsiTheme="majorEastAsia" w:eastAsiaTheme="majorEastAsia"/>
          <w:sz w:val="36"/>
          <w:szCs w:val="36"/>
          <w:highlight w:val="none"/>
        </w:rPr>
        <w:t>第二部分总体设计</w:t>
      </w:r>
      <w:bookmarkEnd w:id="92"/>
      <w:bookmarkEnd w:id="93"/>
      <w:bookmarkEnd w:id="94"/>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95" w:name="_Toc61006864"/>
      <w:bookmarkStart w:id="96" w:name="_Toc192846108"/>
      <w:bookmarkStart w:id="97" w:name="_Toc188877104"/>
      <w:bookmarkStart w:id="98" w:name="_Toc61017634"/>
      <w:bookmarkStart w:id="99" w:name="_Toc185150110"/>
      <w:bookmarkStart w:id="100" w:name="_Toc185155187"/>
      <w:bookmarkStart w:id="101" w:name="_Toc342057076"/>
      <w:r>
        <w:rPr>
          <w:rFonts w:hint="eastAsia" w:asciiTheme="majorEastAsia" w:hAnsiTheme="majorEastAsia" w:eastAsiaTheme="majorEastAsia"/>
          <w:highlight w:val="none"/>
        </w:rPr>
        <w:t>一、总平面设计</w:t>
      </w:r>
      <w:bookmarkEnd w:id="95"/>
      <w:bookmarkEnd w:id="96"/>
      <w:bookmarkEnd w:id="97"/>
      <w:bookmarkEnd w:id="98"/>
      <w:bookmarkEnd w:id="99"/>
      <w:bookmarkEnd w:id="100"/>
      <w:bookmarkEnd w:id="101"/>
    </w:p>
    <w:p>
      <w:pPr>
        <w:adjustRightInd w:val="0"/>
        <w:snapToGrid w:val="0"/>
        <w:spacing w:line="360" w:lineRule="auto"/>
        <w:ind w:firstLine="560" w:firstLineChars="200"/>
        <w:jc w:val="left"/>
        <w:rPr>
          <w:sz w:val="28"/>
          <w:highlight w:val="none"/>
        </w:rPr>
      </w:pPr>
      <w:r>
        <w:rPr>
          <w:rFonts w:hint="eastAsia"/>
          <w:sz w:val="28"/>
          <w:highlight w:val="none"/>
        </w:rPr>
        <w:t>1、建筑间距需要满足当地规划要求的日照间距、退线要求以及防火间距。</w:t>
      </w:r>
    </w:p>
    <w:p>
      <w:pPr>
        <w:adjustRightInd w:val="0"/>
        <w:snapToGrid w:val="0"/>
        <w:spacing w:line="360" w:lineRule="auto"/>
        <w:ind w:firstLine="560" w:firstLineChars="200"/>
        <w:jc w:val="left"/>
        <w:rPr>
          <w:sz w:val="28"/>
          <w:highlight w:val="none"/>
        </w:rPr>
      </w:pPr>
      <w:r>
        <w:rPr>
          <w:rFonts w:hint="eastAsia"/>
          <w:sz w:val="28"/>
          <w:highlight w:val="none"/>
        </w:rPr>
        <w:t>2、建筑以</w:t>
      </w:r>
      <w:r>
        <w:rPr>
          <w:rFonts w:hint="eastAsia" w:asciiTheme="minorEastAsia" w:hAnsiTheme="minorEastAsia" w:eastAsiaTheme="minorEastAsia"/>
          <w:sz w:val="28"/>
          <w:highlight w:val="none"/>
        </w:rPr>
        <w:t>发包人及国铁认可的规划方案图</w:t>
      </w:r>
      <w:r>
        <w:rPr>
          <w:rFonts w:hint="eastAsia"/>
          <w:sz w:val="28"/>
          <w:highlight w:val="none"/>
        </w:rPr>
        <w:t>为准，施工图设计时盖板顶部所留覆土的厚度充分考虑市政管线的铺设和景观设计的覆土要求。</w:t>
      </w:r>
    </w:p>
    <w:p>
      <w:pPr>
        <w:adjustRightInd w:val="0"/>
        <w:snapToGrid w:val="0"/>
        <w:spacing w:line="360" w:lineRule="auto"/>
        <w:ind w:firstLine="560" w:firstLineChars="200"/>
        <w:jc w:val="left"/>
        <w:rPr>
          <w:sz w:val="28"/>
          <w:highlight w:val="none"/>
        </w:rPr>
      </w:pPr>
      <w:r>
        <w:rPr>
          <w:rFonts w:hint="eastAsia"/>
          <w:sz w:val="28"/>
          <w:highlight w:val="none"/>
        </w:rPr>
        <w:t>3、需对场地的标高进行详细的设计，综合考虑各方面的因素确定场地的标高，做到经济、合理。</w:t>
      </w:r>
    </w:p>
    <w:p>
      <w:pPr>
        <w:adjustRightInd w:val="0"/>
        <w:snapToGrid w:val="0"/>
        <w:spacing w:line="360" w:lineRule="auto"/>
        <w:ind w:firstLine="560" w:firstLineChars="200"/>
        <w:jc w:val="left"/>
        <w:rPr>
          <w:sz w:val="28"/>
          <w:highlight w:val="none"/>
        </w:rPr>
      </w:pPr>
      <w:r>
        <w:rPr>
          <w:rFonts w:hint="eastAsia"/>
          <w:sz w:val="28"/>
          <w:highlight w:val="none"/>
        </w:rPr>
        <w:t>4、本项目为平台板上盖物业，施工图设计时须优化综合管网，同时优化板下管网布置，使项目衔接合理，控制成本并保证安全适用。</w:t>
      </w:r>
    </w:p>
    <w:p>
      <w:pPr>
        <w:adjustRightInd w:val="0"/>
        <w:snapToGrid w:val="0"/>
        <w:spacing w:line="360" w:lineRule="auto"/>
        <w:ind w:firstLine="560" w:firstLineChars="200"/>
        <w:jc w:val="left"/>
        <w:rPr>
          <w:sz w:val="28"/>
          <w:highlight w:val="none"/>
        </w:rPr>
      </w:pPr>
      <w:r>
        <w:rPr>
          <w:rFonts w:hint="eastAsia"/>
          <w:sz w:val="28"/>
          <w:highlight w:val="none"/>
        </w:rPr>
        <w:t>5、垃圾点的设置应便于后期管理，方便商户及住户使用。</w:t>
      </w:r>
    </w:p>
    <w:p>
      <w:pPr>
        <w:adjustRightInd w:val="0"/>
        <w:snapToGrid w:val="0"/>
        <w:spacing w:line="360" w:lineRule="auto"/>
        <w:ind w:firstLine="560" w:firstLineChars="200"/>
        <w:jc w:val="left"/>
        <w:rPr>
          <w:sz w:val="28"/>
          <w:highlight w:val="none"/>
        </w:rPr>
      </w:pPr>
      <w:r>
        <w:rPr>
          <w:rFonts w:hint="eastAsia"/>
          <w:sz w:val="28"/>
          <w:highlight w:val="none"/>
        </w:rPr>
        <w:t>6、应对场地的排水进行综合设计，做到通畅简洁；尽量使用暗沟组织场地的排水系统，确需使用明沟时，需减少对景观的影响。</w:t>
      </w:r>
    </w:p>
    <w:p>
      <w:pPr>
        <w:adjustRightInd w:val="0"/>
        <w:snapToGrid w:val="0"/>
        <w:spacing w:line="360" w:lineRule="auto"/>
        <w:ind w:firstLine="560" w:firstLineChars="200"/>
        <w:jc w:val="left"/>
        <w:rPr>
          <w:sz w:val="28"/>
          <w:highlight w:val="none"/>
        </w:rPr>
      </w:pPr>
      <w:r>
        <w:rPr>
          <w:rFonts w:hint="eastAsia"/>
          <w:sz w:val="28"/>
          <w:highlight w:val="none"/>
        </w:rPr>
        <w:t>7、对综合管线进行有机的组织，尽量将检查井、雨水井、通风井等设置于隐蔽处或结合景观设计巧妙处理。</w:t>
      </w:r>
    </w:p>
    <w:p>
      <w:pPr>
        <w:adjustRightInd w:val="0"/>
        <w:snapToGrid w:val="0"/>
        <w:spacing w:line="360" w:lineRule="auto"/>
        <w:ind w:firstLine="560" w:firstLineChars="200"/>
        <w:jc w:val="left"/>
        <w:rPr>
          <w:sz w:val="28"/>
          <w:highlight w:val="none"/>
        </w:rPr>
      </w:pPr>
      <w:r>
        <w:rPr>
          <w:rFonts w:hint="eastAsia"/>
          <w:sz w:val="28"/>
          <w:highlight w:val="none"/>
        </w:rPr>
        <w:t>8、景观设计需密切配合建筑设计，一是有利于环境、交通、等整体设计，达到最佳效果；二是便于功能与标高的整体解决，减少设计上不必要的冲突和反复。</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02" w:name="_Toc188877105"/>
      <w:bookmarkStart w:id="103" w:name="_Toc185155188"/>
      <w:bookmarkStart w:id="104" w:name="_Toc185150111"/>
      <w:bookmarkStart w:id="105" w:name="_Toc342057077"/>
      <w:bookmarkStart w:id="106" w:name="_Toc61006865"/>
      <w:bookmarkStart w:id="107" w:name="_Toc192846109"/>
      <w:bookmarkStart w:id="108" w:name="_Toc61017635"/>
      <w:r>
        <w:rPr>
          <w:rFonts w:hint="eastAsia" w:asciiTheme="majorEastAsia" w:hAnsiTheme="majorEastAsia" w:eastAsiaTheme="majorEastAsia"/>
          <w:highlight w:val="none"/>
        </w:rPr>
        <w:t>二、消防</w:t>
      </w:r>
      <w:bookmarkEnd w:id="102"/>
      <w:bookmarkEnd w:id="103"/>
      <w:bookmarkEnd w:id="104"/>
      <w:r>
        <w:rPr>
          <w:rFonts w:hint="eastAsia" w:asciiTheme="majorEastAsia" w:hAnsiTheme="majorEastAsia" w:eastAsiaTheme="majorEastAsia"/>
          <w:highlight w:val="none"/>
        </w:rPr>
        <w:t>设计</w:t>
      </w:r>
      <w:bookmarkEnd w:id="105"/>
      <w:bookmarkEnd w:id="106"/>
      <w:bookmarkEnd w:id="107"/>
      <w:bookmarkEnd w:id="108"/>
    </w:p>
    <w:p>
      <w:pPr>
        <w:adjustRightInd w:val="0"/>
        <w:snapToGrid w:val="0"/>
        <w:spacing w:line="360" w:lineRule="auto"/>
        <w:ind w:firstLine="560" w:firstLineChars="200"/>
        <w:jc w:val="left"/>
        <w:rPr>
          <w:sz w:val="28"/>
          <w:highlight w:val="none"/>
        </w:rPr>
      </w:pPr>
      <w:r>
        <w:rPr>
          <w:rFonts w:hint="eastAsia"/>
          <w:sz w:val="28"/>
          <w:highlight w:val="none"/>
        </w:rPr>
        <w:t>1、消防设计必须满足国家及项目当地的消防部门的要求，设计实施前必须做好与当地的消防部门的沟通。</w:t>
      </w:r>
    </w:p>
    <w:p>
      <w:pPr>
        <w:adjustRightInd w:val="0"/>
        <w:snapToGrid w:val="0"/>
        <w:spacing w:line="360" w:lineRule="auto"/>
        <w:ind w:firstLine="560" w:firstLineChars="200"/>
        <w:jc w:val="left"/>
        <w:rPr>
          <w:sz w:val="28"/>
          <w:highlight w:val="none"/>
        </w:rPr>
      </w:pPr>
      <w:r>
        <w:rPr>
          <w:rFonts w:hint="eastAsia"/>
          <w:sz w:val="28"/>
          <w:highlight w:val="none"/>
        </w:rPr>
        <w:t>2、总图中应做好消防车道及消防登高面设计，注意人车分流；消防车道及消防登高面应组合设计，尽量减少对环境的影响，登高面宜在用地红线内解决，条件限制时可利用绿化带作登高面，但绿化带下应考虑荷载要求。</w:t>
      </w:r>
    </w:p>
    <w:p>
      <w:pPr>
        <w:adjustRightInd w:val="0"/>
        <w:snapToGrid w:val="0"/>
        <w:spacing w:line="360" w:lineRule="auto"/>
        <w:ind w:firstLine="560" w:firstLineChars="200"/>
        <w:jc w:val="left"/>
        <w:rPr>
          <w:sz w:val="28"/>
          <w:highlight w:val="none"/>
        </w:rPr>
      </w:pPr>
      <w:r>
        <w:rPr>
          <w:rFonts w:hint="eastAsia"/>
          <w:sz w:val="28"/>
          <w:highlight w:val="none"/>
        </w:rPr>
        <w:t>3、各管线检查口尽量靠墙靠边设置，并尽量设置于绿化软景当中，当消防车道或消防登高面要求过宽影响环境景观时，可采用部分绿化遮盖措施。</w:t>
      </w:r>
    </w:p>
    <w:p>
      <w:pPr>
        <w:adjustRightInd w:val="0"/>
        <w:snapToGrid w:val="0"/>
        <w:spacing w:line="360" w:lineRule="auto"/>
        <w:ind w:firstLine="560" w:firstLineChars="200"/>
        <w:jc w:val="left"/>
        <w:rPr>
          <w:sz w:val="28"/>
          <w:highlight w:val="none"/>
        </w:rPr>
      </w:pPr>
      <w:r>
        <w:rPr>
          <w:rFonts w:hint="eastAsia"/>
          <w:sz w:val="28"/>
          <w:highlight w:val="none"/>
        </w:rPr>
        <w:t>4、为景观园林设计单位提供的设计条件图必须清楚地表示出消防车道、消防登高面、控制性标高及坡度，以正确引导园林设计。</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09" w:name="_Toc185150112"/>
      <w:bookmarkStart w:id="110" w:name="_Toc61006866"/>
      <w:bookmarkStart w:id="111" w:name="_Toc185155189"/>
      <w:bookmarkStart w:id="112" w:name="_Toc61017636"/>
      <w:bookmarkStart w:id="113" w:name="_Toc188877106"/>
      <w:bookmarkStart w:id="114" w:name="_Toc192846110"/>
      <w:bookmarkStart w:id="115" w:name="_Toc342057078"/>
      <w:r>
        <w:rPr>
          <w:rFonts w:hint="eastAsia" w:asciiTheme="majorEastAsia" w:hAnsiTheme="majorEastAsia" w:eastAsiaTheme="majorEastAsia"/>
          <w:highlight w:val="none"/>
        </w:rPr>
        <w:t>三、竖向设计</w:t>
      </w:r>
      <w:bookmarkEnd w:id="109"/>
      <w:bookmarkEnd w:id="110"/>
      <w:bookmarkEnd w:id="111"/>
      <w:bookmarkEnd w:id="112"/>
      <w:bookmarkEnd w:id="113"/>
      <w:bookmarkEnd w:id="114"/>
      <w:bookmarkEnd w:id="115"/>
    </w:p>
    <w:p>
      <w:pPr>
        <w:adjustRightInd w:val="0"/>
        <w:snapToGrid w:val="0"/>
        <w:spacing w:line="360" w:lineRule="auto"/>
        <w:ind w:firstLine="560" w:firstLineChars="200"/>
        <w:jc w:val="left"/>
        <w:rPr>
          <w:sz w:val="28"/>
          <w:highlight w:val="none"/>
        </w:rPr>
      </w:pPr>
      <w:r>
        <w:rPr>
          <w:rFonts w:hint="eastAsia"/>
          <w:sz w:val="28"/>
          <w:highlight w:val="none"/>
        </w:rPr>
        <w:t>1、总图要考虑场地与10米和18米平台板规划道路及管线标高连接等问题，总图与单体室外标高必须协调。</w:t>
      </w:r>
    </w:p>
    <w:p>
      <w:pPr>
        <w:adjustRightInd w:val="0"/>
        <w:snapToGrid w:val="0"/>
        <w:spacing w:line="360" w:lineRule="auto"/>
        <w:ind w:firstLine="560" w:firstLineChars="200"/>
        <w:jc w:val="left"/>
        <w:rPr>
          <w:sz w:val="28"/>
          <w:highlight w:val="none"/>
        </w:rPr>
      </w:pPr>
      <w:r>
        <w:rPr>
          <w:rFonts w:hint="eastAsia"/>
          <w:sz w:val="28"/>
          <w:highlight w:val="none"/>
        </w:rPr>
        <w:t>2、应明确场地与道路标高、衔接关系及具体做法，应明确各建筑物出入口竖向交通设计，地块出入口道路路面标高，宜高于道路路面标高，连接平顺。配套商业首层标高宜高出室外地坪100至150m</w:t>
      </w:r>
      <w:r>
        <w:rPr>
          <w:sz w:val="28"/>
          <w:highlight w:val="none"/>
        </w:rPr>
        <w:t>m</w:t>
      </w:r>
      <w:r>
        <w:rPr>
          <w:rFonts w:hint="eastAsia"/>
          <w:sz w:val="28"/>
          <w:highlight w:val="none"/>
        </w:rPr>
        <w:t>，办公可高出室外地坪150至200m</w:t>
      </w:r>
      <w:r>
        <w:rPr>
          <w:sz w:val="28"/>
          <w:highlight w:val="none"/>
        </w:rPr>
        <w:t>m</w:t>
      </w:r>
      <w:r>
        <w:rPr>
          <w:rFonts w:hint="eastAsia"/>
          <w:sz w:val="28"/>
          <w:highlight w:val="none"/>
        </w:rPr>
        <w:t>或根据需要更高。各商铺出入口处室内外高差不超过2</w:t>
      </w:r>
      <w:r>
        <w:rPr>
          <w:sz w:val="28"/>
          <w:highlight w:val="none"/>
        </w:rPr>
        <w:t>00mm</w:t>
      </w:r>
      <w:r>
        <w:rPr>
          <w:rFonts w:hint="eastAsia"/>
          <w:sz w:val="28"/>
          <w:highlight w:val="none"/>
        </w:rPr>
        <w:t>的，应设缓坡，不允许出现台阶。各出入口应结合景观合理进行竖向设计，适当调整室内标高，以适应变化较大的地形。</w:t>
      </w:r>
    </w:p>
    <w:p>
      <w:pPr>
        <w:adjustRightInd w:val="0"/>
        <w:snapToGrid w:val="0"/>
        <w:spacing w:line="360" w:lineRule="auto"/>
        <w:ind w:firstLine="560" w:firstLineChars="200"/>
        <w:jc w:val="left"/>
        <w:rPr>
          <w:sz w:val="28"/>
          <w:highlight w:val="none"/>
        </w:rPr>
      </w:pPr>
      <w:r>
        <w:rPr>
          <w:rFonts w:hint="eastAsia"/>
          <w:sz w:val="28"/>
          <w:highlight w:val="none"/>
        </w:rPr>
        <w:t>4、场地整体坡度应满足排水管线的敷设要求及无障碍设计的要求。</w:t>
      </w:r>
    </w:p>
    <w:p>
      <w:pPr>
        <w:adjustRightInd w:val="0"/>
        <w:snapToGrid w:val="0"/>
        <w:spacing w:line="360" w:lineRule="auto"/>
        <w:ind w:firstLine="560" w:firstLineChars="200"/>
        <w:jc w:val="left"/>
        <w:rPr>
          <w:sz w:val="28"/>
          <w:highlight w:val="none"/>
        </w:rPr>
      </w:pPr>
      <w:r>
        <w:rPr>
          <w:rFonts w:hint="eastAsia"/>
          <w:sz w:val="28"/>
          <w:highlight w:val="none"/>
        </w:rPr>
        <w:t>5、道路标高坡向与雨水进水口位置应相符。</w:t>
      </w:r>
    </w:p>
    <w:p>
      <w:pPr>
        <w:adjustRightInd w:val="0"/>
        <w:snapToGrid w:val="0"/>
        <w:spacing w:line="360" w:lineRule="auto"/>
        <w:ind w:firstLine="560" w:firstLineChars="200"/>
        <w:jc w:val="left"/>
        <w:rPr>
          <w:sz w:val="28"/>
          <w:highlight w:val="none"/>
        </w:rPr>
      </w:pPr>
      <w:r>
        <w:rPr>
          <w:rFonts w:hint="eastAsia"/>
          <w:sz w:val="28"/>
          <w:highlight w:val="none"/>
        </w:rPr>
        <w:t>6、竖向设计图纸中须标注有关绝对标高，如地坪标高、道路标高、水面标高、建筑物±</w:t>
      </w:r>
      <w:r>
        <w:rPr>
          <w:sz w:val="28"/>
          <w:highlight w:val="none"/>
        </w:rPr>
        <w:t>0.00</w:t>
      </w:r>
      <w:r>
        <w:rPr>
          <w:rFonts w:hint="eastAsia"/>
          <w:sz w:val="28"/>
          <w:highlight w:val="none"/>
        </w:rPr>
        <w:t>的标高等，还有道路坡向及坡度，地坪坡向及坡度等。</w:t>
      </w:r>
    </w:p>
    <w:p>
      <w:pPr>
        <w:adjustRightInd w:val="0"/>
        <w:snapToGrid w:val="0"/>
        <w:spacing w:line="360" w:lineRule="auto"/>
        <w:ind w:firstLine="560" w:firstLineChars="200"/>
        <w:jc w:val="left"/>
        <w:rPr>
          <w:sz w:val="28"/>
          <w:highlight w:val="none"/>
        </w:rPr>
      </w:pPr>
      <w:r>
        <w:rPr>
          <w:rFonts w:hint="eastAsia"/>
          <w:sz w:val="28"/>
          <w:highlight w:val="none"/>
        </w:rPr>
        <w:t>7、地块内消防车道及消防登高场地的尺寸及设计坡度应满足国家现行相关规范。地块内步行道的纵坡不应小于</w:t>
      </w:r>
      <w:r>
        <w:rPr>
          <w:sz w:val="28"/>
          <w:highlight w:val="none"/>
        </w:rPr>
        <w:t>0.2</w:t>
      </w:r>
      <w:r>
        <w:rPr>
          <w:rFonts w:hint="eastAsia"/>
          <w:sz w:val="28"/>
          <w:highlight w:val="none"/>
        </w:rPr>
        <w:t>％，亦不应大于</w:t>
      </w:r>
      <w:r>
        <w:rPr>
          <w:sz w:val="28"/>
          <w:highlight w:val="none"/>
        </w:rPr>
        <w:t>8</w:t>
      </w:r>
      <w:r>
        <w:rPr>
          <w:rFonts w:hint="eastAsia"/>
          <w:sz w:val="28"/>
          <w:highlight w:val="none"/>
        </w:rPr>
        <w:t>％，横坡应为</w:t>
      </w:r>
      <w:r>
        <w:rPr>
          <w:sz w:val="28"/>
          <w:highlight w:val="none"/>
        </w:rPr>
        <w:t>1</w:t>
      </w:r>
      <w:r>
        <w:rPr>
          <w:rFonts w:hint="eastAsia"/>
          <w:sz w:val="28"/>
          <w:highlight w:val="none"/>
        </w:rPr>
        <w:t>％至</w:t>
      </w:r>
      <w:r>
        <w:rPr>
          <w:sz w:val="28"/>
          <w:highlight w:val="none"/>
        </w:rPr>
        <w:t>2</w:t>
      </w:r>
      <w:r>
        <w:rPr>
          <w:rFonts w:hint="eastAsia"/>
          <w:sz w:val="28"/>
          <w:highlight w:val="none"/>
        </w:rPr>
        <w:t>％，应设置无障碍人行设施。</w:t>
      </w:r>
    </w:p>
    <w:p>
      <w:pPr>
        <w:adjustRightInd w:val="0"/>
        <w:snapToGrid w:val="0"/>
        <w:spacing w:line="360" w:lineRule="auto"/>
        <w:ind w:firstLine="560" w:firstLineChars="200"/>
        <w:jc w:val="left"/>
        <w:rPr>
          <w:sz w:val="28"/>
          <w:highlight w:val="none"/>
        </w:rPr>
      </w:pPr>
      <w:r>
        <w:rPr>
          <w:rFonts w:hint="eastAsia"/>
          <w:sz w:val="28"/>
          <w:highlight w:val="none"/>
        </w:rPr>
        <w:t>8、场地竖向设计必须保证从建筑入口朝外侧排水找坡，在大面积人行通过区域，垂直建筑方向的坡度不能超过</w:t>
      </w:r>
      <w:r>
        <w:rPr>
          <w:sz w:val="28"/>
          <w:highlight w:val="none"/>
        </w:rPr>
        <w:t>3%</w:t>
      </w:r>
      <w:r>
        <w:rPr>
          <w:rFonts w:hint="eastAsia"/>
          <w:sz w:val="28"/>
          <w:highlight w:val="none"/>
        </w:rPr>
        <w:t>；如有超过，则须采取台阶或者花池的方式处理高差。竖向设计应满足污水、雨水的排水组织通畅，避免出现凹地。</w:t>
      </w:r>
    </w:p>
    <w:p>
      <w:pPr>
        <w:adjustRightInd w:val="0"/>
        <w:snapToGrid w:val="0"/>
        <w:spacing w:line="360" w:lineRule="auto"/>
        <w:ind w:firstLine="560" w:firstLineChars="200"/>
        <w:jc w:val="left"/>
        <w:rPr>
          <w:sz w:val="28"/>
          <w:highlight w:val="none"/>
        </w:rPr>
      </w:pPr>
      <w:r>
        <w:rPr>
          <w:rFonts w:hint="eastAsia"/>
          <w:sz w:val="28"/>
          <w:highlight w:val="none"/>
        </w:rPr>
        <w:t>9、建筑主要出入口室内外高差在</w:t>
      </w:r>
      <w:r>
        <w:rPr>
          <w:sz w:val="28"/>
          <w:highlight w:val="none"/>
        </w:rPr>
        <w:t>200mm</w:t>
      </w:r>
      <w:r>
        <w:rPr>
          <w:rFonts w:hint="eastAsia"/>
          <w:sz w:val="28"/>
          <w:highlight w:val="none"/>
        </w:rPr>
        <w:t>以下时，可考虑设计缓坡，为避免出现侧面的三角形斜坎，应设计为三面斜坡。斜坡上平台的位置设计准则包括两方面内容：第一，满足门的开启，同时至少有</w:t>
      </w:r>
      <w:r>
        <w:rPr>
          <w:sz w:val="28"/>
          <w:highlight w:val="none"/>
        </w:rPr>
        <w:t>1</w:t>
      </w:r>
      <w:r>
        <w:rPr>
          <w:rFonts w:hint="eastAsia"/>
          <w:sz w:val="28"/>
          <w:highlight w:val="none"/>
        </w:rPr>
        <w:t>米的缓冲区域；第二，可结合雨棚的尺寸，平台的位置就是雨棚的垂直投影范围。斜坡坡度必须满足无障碍设计的要求，坡度不能超过</w:t>
      </w:r>
      <w:r>
        <w:rPr>
          <w:sz w:val="28"/>
          <w:highlight w:val="none"/>
        </w:rPr>
        <w:t>1/12</w:t>
      </w:r>
      <w:r>
        <w:rPr>
          <w:rFonts w:hint="eastAsia"/>
          <w:sz w:val="28"/>
          <w:highlight w:val="none"/>
        </w:rPr>
        <w:t>，斜坡平台必须有</w:t>
      </w:r>
      <w:r>
        <w:rPr>
          <w:sz w:val="28"/>
          <w:highlight w:val="none"/>
        </w:rPr>
        <w:t>3%</w:t>
      </w:r>
      <w:r>
        <w:rPr>
          <w:rFonts w:hint="eastAsia"/>
          <w:sz w:val="28"/>
          <w:highlight w:val="none"/>
        </w:rPr>
        <w:t>的排水坡度。</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16" w:name="_Toc61006867"/>
      <w:bookmarkStart w:id="117" w:name="_Toc185155190"/>
      <w:bookmarkStart w:id="118" w:name="_Toc342057079"/>
      <w:bookmarkStart w:id="119" w:name="_Toc185150113"/>
      <w:bookmarkStart w:id="120" w:name="_Toc192846111"/>
      <w:bookmarkStart w:id="121" w:name="_Toc188877107"/>
      <w:bookmarkStart w:id="122" w:name="_Toc61017637"/>
      <w:r>
        <w:rPr>
          <w:rFonts w:hint="eastAsia" w:asciiTheme="majorEastAsia" w:hAnsiTheme="majorEastAsia" w:eastAsiaTheme="majorEastAsia"/>
          <w:highlight w:val="none"/>
        </w:rPr>
        <w:t>四、道路流线</w:t>
      </w:r>
      <w:bookmarkEnd w:id="116"/>
      <w:bookmarkEnd w:id="117"/>
      <w:bookmarkEnd w:id="118"/>
      <w:bookmarkEnd w:id="119"/>
      <w:bookmarkEnd w:id="120"/>
      <w:bookmarkEnd w:id="121"/>
      <w:bookmarkEnd w:id="122"/>
    </w:p>
    <w:p>
      <w:pPr>
        <w:adjustRightInd w:val="0"/>
        <w:snapToGrid w:val="0"/>
        <w:spacing w:line="360" w:lineRule="auto"/>
        <w:ind w:firstLine="560" w:firstLineChars="200"/>
        <w:jc w:val="left"/>
        <w:rPr>
          <w:sz w:val="28"/>
          <w:highlight w:val="none"/>
        </w:rPr>
      </w:pPr>
      <w:r>
        <w:rPr>
          <w:rFonts w:hint="eastAsia"/>
          <w:sz w:val="28"/>
          <w:highlight w:val="none"/>
        </w:rPr>
        <w:t>1、本项目机动车配置由白云站房地下室统筹规划。</w:t>
      </w:r>
    </w:p>
    <w:p>
      <w:pPr>
        <w:adjustRightInd w:val="0"/>
        <w:snapToGrid w:val="0"/>
        <w:spacing w:line="360" w:lineRule="auto"/>
        <w:ind w:firstLine="560" w:firstLineChars="200"/>
        <w:jc w:val="left"/>
        <w:rPr>
          <w:sz w:val="28"/>
          <w:highlight w:val="none"/>
        </w:rPr>
      </w:pPr>
      <w:r>
        <w:rPr>
          <w:rFonts w:hint="eastAsia"/>
          <w:sz w:val="28"/>
          <w:highlight w:val="none"/>
        </w:rPr>
        <w:t>2、本项目不考虑地下车库设计，但在场地设计时应考虑在搬家、救护车及消防车等特种作业车辆能迅速便利地到达各建筑出入口处，且有条件的情况下地块内应尽量做到全人车分流，以避免流线交叉，尽量减少地面机动车行走的范围，减少与地面非机动车、人流的交汇。</w:t>
      </w:r>
    </w:p>
    <w:p>
      <w:pPr>
        <w:adjustRightInd w:val="0"/>
        <w:snapToGrid w:val="0"/>
        <w:spacing w:line="360" w:lineRule="auto"/>
        <w:ind w:firstLine="560" w:firstLineChars="200"/>
        <w:jc w:val="left"/>
        <w:rPr>
          <w:sz w:val="28"/>
          <w:highlight w:val="none"/>
        </w:rPr>
      </w:pPr>
      <w:r>
        <w:rPr>
          <w:rFonts w:hint="eastAsia"/>
          <w:sz w:val="28"/>
          <w:highlight w:val="none"/>
        </w:rPr>
        <w:t>3、垃圾车通过盖板上运输生活垃圾。</w:t>
      </w:r>
    </w:p>
    <w:p>
      <w:pPr>
        <w:adjustRightInd w:val="0"/>
        <w:snapToGrid w:val="0"/>
        <w:spacing w:line="360" w:lineRule="auto"/>
        <w:ind w:firstLine="560" w:firstLineChars="200"/>
        <w:jc w:val="left"/>
        <w:rPr>
          <w:sz w:val="28"/>
          <w:highlight w:val="none"/>
        </w:rPr>
      </w:pPr>
      <w:r>
        <w:rPr>
          <w:rFonts w:hint="eastAsia"/>
          <w:sz w:val="28"/>
          <w:highlight w:val="none"/>
        </w:rPr>
        <w:t>4、综合考虑白云站房地下室到达18米盖板预留的垂直交通条件，合理组织垂直交通及转换流线，同时须对转换厅尺度进行考量。</w:t>
      </w:r>
    </w:p>
    <w:p>
      <w:pPr>
        <w:adjustRightInd w:val="0"/>
        <w:snapToGrid w:val="0"/>
        <w:spacing w:line="360" w:lineRule="auto"/>
        <w:ind w:firstLine="560" w:firstLineChars="200"/>
        <w:jc w:val="left"/>
        <w:rPr>
          <w:sz w:val="28"/>
          <w:highlight w:val="none"/>
        </w:rPr>
      </w:pPr>
      <w:r>
        <w:rPr>
          <w:rFonts w:hint="eastAsia"/>
          <w:sz w:val="28"/>
          <w:highlight w:val="none"/>
        </w:rPr>
        <w:t>5、合理处理商业人流、居住人流与后勤流线的关系，尽量避免相互干扰，货流、客流及人流等应区分有序，符合商业运营、居住的日常使用要求。</w:t>
      </w:r>
    </w:p>
    <w:p>
      <w:pPr>
        <w:adjustRightInd w:val="0"/>
        <w:snapToGrid w:val="0"/>
        <w:spacing w:line="360" w:lineRule="auto"/>
        <w:ind w:firstLine="560" w:firstLineChars="200"/>
        <w:jc w:val="left"/>
        <w:rPr>
          <w:sz w:val="28"/>
          <w:highlight w:val="none"/>
        </w:rPr>
      </w:pPr>
      <w:r>
        <w:rPr>
          <w:rFonts w:hint="eastAsia"/>
          <w:sz w:val="28"/>
          <w:highlight w:val="none"/>
        </w:rPr>
        <w:t>6、建筑各功能性出入口在总图上要清晰标注。</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23" w:name="_Toc61006868"/>
      <w:bookmarkStart w:id="124" w:name="_Toc342057080"/>
      <w:bookmarkStart w:id="125" w:name="_Toc61017638"/>
      <w:r>
        <w:rPr>
          <w:rFonts w:hint="eastAsia" w:asciiTheme="majorEastAsia" w:hAnsiTheme="majorEastAsia" w:eastAsiaTheme="majorEastAsia"/>
          <w:highlight w:val="none"/>
        </w:rPr>
        <w:t>五、附属用房</w:t>
      </w:r>
      <w:bookmarkEnd w:id="123"/>
      <w:bookmarkEnd w:id="124"/>
      <w:bookmarkEnd w:id="125"/>
    </w:p>
    <w:p>
      <w:pPr>
        <w:adjustRightInd w:val="0"/>
        <w:snapToGrid w:val="0"/>
        <w:spacing w:line="360" w:lineRule="auto"/>
        <w:ind w:firstLine="560" w:firstLineChars="200"/>
        <w:jc w:val="left"/>
        <w:rPr>
          <w:sz w:val="28"/>
          <w:highlight w:val="none"/>
        </w:rPr>
      </w:pPr>
      <w:r>
        <w:rPr>
          <w:rFonts w:hint="eastAsia"/>
          <w:sz w:val="28"/>
          <w:highlight w:val="none"/>
        </w:rPr>
        <w:t>1、垃圾站（点）应设置在靠近货梯等较隐蔽处。当垃圾站独立设置时，宜设置在场地边缘位置便于垃圾处理与转运。</w:t>
      </w:r>
    </w:p>
    <w:p>
      <w:pPr>
        <w:adjustRightInd w:val="0"/>
        <w:snapToGrid w:val="0"/>
        <w:spacing w:line="360" w:lineRule="auto"/>
        <w:ind w:firstLine="560" w:firstLineChars="200"/>
        <w:jc w:val="left"/>
        <w:rPr>
          <w:sz w:val="28"/>
          <w:highlight w:val="none"/>
        </w:rPr>
      </w:pPr>
      <w:r>
        <w:rPr>
          <w:rFonts w:hint="eastAsia"/>
          <w:sz w:val="28"/>
          <w:highlight w:val="none"/>
        </w:rPr>
        <w:t>2、水泵房、变电站、垃圾站、箱变、地下人防、防护墙等设计应明确其平面位置及具体做法。且须结合环境布置，不能影响美观与使用者日常生活。</w:t>
      </w:r>
    </w:p>
    <w:p>
      <w:pPr>
        <w:adjustRightInd w:val="0"/>
        <w:snapToGrid w:val="0"/>
        <w:spacing w:line="360" w:lineRule="auto"/>
        <w:ind w:firstLine="560" w:firstLineChars="200"/>
        <w:jc w:val="left"/>
        <w:rPr>
          <w:sz w:val="28"/>
          <w:highlight w:val="none"/>
        </w:rPr>
      </w:pPr>
      <w:r>
        <w:rPr>
          <w:rFonts w:hint="eastAsia"/>
          <w:sz w:val="28"/>
          <w:highlight w:val="none"/>
        </w:rPr>
        <w:t>3、柴油发电机的排烟处理</w:t>
      </w:r>
      <w:r>
        <w:rPr>
          <w:sz w:val="28"/>
          <w:highlight w:val="none"/>
        </w:rPr>
        <w:t>,</w:t>
      </w:r>
      <w:r>
        <w:rPr>
          <w:rFonts w:hint="eastAsia"/>
          <w:sz w:val="28"/>
          <w:highlight w:val="none"/>
        </w:rPr>
        <w:t>应按当地政府部门规定执行。低空排放时应避免排烟口高温气体伤人及对邻近住户的影响。高空排放时排烟道的高温及油渍不应对相邻住户产生影响。</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26" w:name="_Toc61006869"/>
      <w:bookmarkStart w:id="127" w:name="_Toc342057081"/>
      <w:bookmarkStart w:id="128" w:name="_Toc61017639"/>
      <w:r>
        <w:rPr>
          <w:rFonts w:hint="eastAsia" w:asciiTheme="majorEastAsia" w:hAnsiTheme="majorEastAsia" w:eastAsiaTheme="majorEastAsia"/>
          <w:highlight w:val="none"/>
        </w:rPr>
        <w:t>六、综合管网</w:t>
      </w:r>
      <w:bookmarkEnd w:id="126"/>
      <w:bookmarkEnd w:id="127"/>
      <w:bookmarkEnd w:id="128"/>
    </w:p>
    <w:p>
      <w:pPr>
        <w:adjustRightInd w:val="0"/>
        <w:snapToGrid w:val="0"/>
        <w:spacing w:line="360" w:lineRule="auto"/>
        <w:ind w:firstLine="560" w:firstLineChars="200"/>
        <w:jc w:val="left"/>
        <w:rPr>
          <w:sz w:val="28"/>
          <w:highlight w:val="none"/>
        </w:rPr>
      </w:pPr>
      <w:r>
        <w:rPr>
          <w:rFonts w:hint="eastAsia"/>
          <w:sz w:val="28"/>
          <w:highlight w:val="none"/>
        </w:rPr>
        <w:t>1、结合18米平台上建筑分布，合理确定污水站、集气站、换气站、变电站、开关房等配套设施，明确管线走向，合理布设管位，处理好绿化与管线的协调关系。</w:t>
      </w:r>
    </w:p>
    <w:p>
      <w:pPr>
        <w:adjustRightInd w:val="0"/>
        <w:snapToGrid w:val="0"/>
        <w:spacing w:line="360" w:lineRule="auto"/>
        <w:ind w:firstLine="560" w:firstLineChars="200"/>
        <w:jc w:val="left"/>
        <w:rPr>
          <w:sz w:val="28"/>
          <w:highlight w:val="none"/>
        </w:rPr>
      </w:pPr>
      <w:r>
        <w:rPr>
          <w:rFonts w:hint="eastAsia"/>
          <w:sz w:val="28"/>
          <w:highlight w:val="none"/>
        </w:rPr>
        <w:t>2、重点考虑在进行单体建筑施工图设计时的综合管网与平台板下系统的衔接，明细各系统的管网综合平面图及高程图，需注明场外管线接入点的位置标高。</w:t>
      </w:r>
    </w:p>
    <w:p>
      <w:pPr>
        <w:adjustRightInd w:val="0"/>
        <w:snapToGrid w:val="0"/>
        <w:spacing w:line="360" w:lineRule="auto"/>
        <w:ind w:firstLine="560" w:firstLineChars="200"/>
        <w:jc w:val="left"/>
        <w:rPr>
          <w:sz w:val="28"/>
          <w:highlight w:val="none"/>
        </w:rPr>
      </w:pPr>
      <w:r>
        <w:rPr>
          <w:rFonts w:hint="eastAsia"/>
          <w:sz w:val="28"/>
          <w:highlight w:val="none"/>
        </w:rPr>
        <w:t>3、各建筑出入口处不得设置通风竖井、检查井等设施。对其它位置伸出地面的风井、排烟口、冷凝机房等设备的位置及体量需经发包人及方案设计单位确认。</w:t>
      </w:r>
    </w:p>
    <w:p>
      <w:pPr>
        <w:adjustRightInd w:val="0"/>
        <w:snapToGrid w:val="0"/>
        <w:spacing w:line="360" w:lineRule="auto"/>
        <w:ind w:firstLine="560" w:firstLineChars="200"/>
        <w:jc w:val="left"/>
        <w:rPr>
          <w:sz w:val="28"/>
          <w:highlight w:val="none"/>
        </w:rPr>
      </w:pPr>
      <w:r>
        <w:rPr>
          <w:rFonts w:hint="eastAsia"/>
          <w:sz w:val="28"/>
          <w:highlight w:val="none"/>
        </w:rPr>
        <w:t>4、针对地下室和室外分别出具管网综合图纸，表示出各类管道的相对位置（风、水、电）,室外管网应分别标注定位尺寸及标高。</w:t>
      </w:r>
    </w:p>
    <w:p>
      <w:pPr>
        <w:adjustRightInd w:val="0"/>
        <w:snapToGrid w:val="0"/>
        <w:spacing w:line="360" w:lineRule="auto"/>
        <w:ind w:firstLine="560" w:firstLineChars="200"/>
        <w:jc w:val="left"/>
        <w:rPr>
          <w:sz w:val="28"/>
          <w:highlight w:val="none"/>
        </w:rPr>
      </w:pPr>
      <w:r>
        <w:rPr>
          <w:rFonts w:hint="eastAsia"/>
          <w:sz w:val="28"/>
          <w:highlight w:val="none"/>
        </w:rPr>
        <w:t>5、在做管线综合平衡时，第一要了解共有几种管线及箱体，并把它们以最经济、美观、协调、便于施工的方式各就各位即完成了管线综合平衡。</w:t>
      </w:r>
    </w:p>
    <w:p>
      <w:pPr>
        <w:adjustRightInd w:val="0"/>
        <w:snapToGrid w:val="0"/>
        <w:spacing w:line="360" w:lineRule="auto"/>
        <w:ind w:firstLine="560" w:firstLineChars="200"/>
        <w:jc w:val="left"/>
        <w:rPr>
          <w:sz w:val="28"/>
          <w:highlight w:val="none"/>
        </w:rPr>
      </w:pPr>
      <w:r>
        <w:rPr>
          <w:rFonts w:hint="eastAsia"/>
          <w:sz w:val="28"/>
          <w:highlight w:val="none"/>
        </w:rPr>
        <w:t>6、管线工程综合的任务是分析现状和规划的各类管线工程资料，发现并解决它们相互之间以及与道路、建筑设施之间在平面、立面位置与相互交叉布置时存在的矛盾。作出综合调整规划设计，使它们各得其所，以指导和修正各类工程管线的设计。</w:t>
      </w:r>
    </w:p>
    <w:p>
      <w:pPr>
        <w:adjustRightInd w:val="0"/>
        <w:snapToGrid w:val="0"/>
        <w:spacing w:line="360" w:lineRule="auto"/>
        <w:ind w:firstLine="560" w:firstLineChars="200"/>
        <w:jc w:val="left"/>
        <w:rPr>
          <w:sz w:val="28"/>
          <w:highlight w:val="none"/>
        </w:rPr>
      </w:pPr>
      <w:r>
        <w:rPr>
          <w:rFonts w:hint="eastAsia"/>
          <w:sz w:val="28"/>
          <w:highlight w:val="none"/>
        </w:rPr>
        <w:t>7、除总平面图外，还要求绘制一层组合平面图，将道路关系、各出入口关系、</w:t>
      </w:r>
      <w:r>
        <w:rPr>
          <w:sz w:val="28"/>
          <w:highlight w:val="none"/>
        </w:rPr>
        <w:t>±0.000</w:t>
      </w:r>
      <w:r>
        <w:rPr>
          <w:rFonts w:hint="eastAsia"/>
          <w:sz w:val="28"/>
          <w:highlight w:val="none"/>
        </w:rPr>
        <w:t>标高、室内外高差关系等反映在图面上。</w:t>
      </w:r>
      <w:bookmarkStart w:id="129" w:name="_Toc212525118"/>
      <w:bookmarkEnd w:id="129"/>
      <w:bookmarkStart w:id="130" w:name="_Toc212523903"/>
      <w:bookmarkEnd w:id="130"/>
    </w:p>
    <w:p>
      <w:pPr>
        <w:pStyle w:val="4"/>
        <w:numPr>
          <w:ilvl w:val="0"/>
          <w:numId w:val="0"/>
        </w:numPr>
        <w:adjustRightInd w:val="0"/>
        <w:snapToGrid w:val="0"/>
        <w:spacing w:before="0" w:after="0" w:line="300" w:lineRule="auto"/>
        <w:jc w:val="center"/>
        <w:rPr>
          <w:rFonts w:asciiTheme="majorEastAsia" w:hAnsiTheme="majorEastAsia" w:eastAsiaTheme="majorEastAsia"/>
          <w:sz w:val="36"/>
          <w:szCs w:val="36"/>
          <w:highlight w:val="none"/>
        </w:rPr>
      </w:pPr>
      <w:bookmarkStart w:id="131" w:name="_Toc61006870"/>
      <w:bookmarkStart w:id="132" w:name="_Toc61017640"/>
      <w:bookmarkStart w:id="133" w:name="_Toc342057082"/>
      <w:r>
        <w:rPr>
          <w:rFonts w:hint="eastAsia" w:asciiTheme="majorEastAsia" w:hAnsiTheme="majorEastAsia" w:eastAsiaTheme="majorEastAsia"/>
          <w:sz w:val="36"/>
          <w:szCs w:val="36"/>
          <w:highlight w:val="none"/>
        </w:rPr>
        <w:t>第三部分 建筑专业</w:t>
      </w:r>
      <w:bookmarkEnd w:id="131"/>
      <w:bookmarkEnd w:id="132"/>
      <w:bookmarkEnd w:id="133"/>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34" w:name="_Toc61006871"/>
      <w:bookmarkStart w:id="135" w:name="_Toc61017641"/>
      <w:bookmarkStart w:id="136" w:name="_Toc212523904"/>
      <w:bookmarkStart w:id="137" w:name="_Toc212525119"/>
      <w:bookmarkStart w:id="138" w:name="_Toc342057083"/>
      <w:bookmarkStart w:id="139" w:name="_Toc212523921"/>
      <w:bookmarkStart w:id="140" w:name="_Toc212525152"/>
      <w:r>
        <w:rPr>
          <w:rFonts w:hint="eastAsia" w:asciiTheme="majorEastAsia" w:hAnsiTheme="majorEastAsia" w:eastAsiaTheme="majorEastAsia"/>
          <w:highlight w:val="none"/>
        </w:rPr>
        <w:t>一、建筑专业设计任务书</w:t>
      </w:r>
      <w:bookmarkEnd w:id="134"/>
      <w:bookmarkEnd w:id="135"/>
      <w:bookmarkEnd w:id="136"/>
      <w:bookmarkEnd w:id="137"/>
      <w:bookmarkEnd w:id="138"/>
    </w:p>
    <w:p>
      <w:pPr>
        <w:adjustRightInd w:val="0"/>
        <w:snapToGrid w:val="0"/>
        <w:spacing w:line="360" w:lineRule="auto"/>
        <w:ind w:firstLine="560" w:firstLineChars="200"/>
        <w:jc w:val="left"/>
        <w:rPr>
          <w:sz w:val="28"/>
          <w:highlight w:val="none"/>
        </w:rPr>
      </w:pPr>
      <w:bookmarkStart w:id="141" w:name="_Toc20117"/>
      <w:bookmarkStart w:id="142" w:name="_Toc212523905"/>
      <w:bookmarkStart w:id="143" w:name="_Toc212525120"/>
      <w:bookmarkStart w:id="144" w:name="_Toc61006872"/>
      <w:bookmarkStart w:id="145" w:name="_Toc342057084"/>
      <w:r>
        <w:rPr>
          <w:rFonts w:hint="eastAsia"/>
          <w:sz w:val="28"/>
          <w:highlight w:val="none"/>
        </w:rPr>
        <w:t>1、设计说明</w:t>
      </w:r>
      <w:bookmarkEnd w:id="141"/>
      <w:bookmarkEnd w:id="142"/>
      <w:bookmarkEnd w:id="143"/>
      <w:bookmarkEnd w:id="144"/>
      <w:bookmarkEnd w:id="145"/>
    </w:p>
    <w:p>
      <w:pPr>
        <w:adjustRightInd w:val="0"/>
        <w:snapToGrid w:val="0"/>
        <w:spacing w:line="360" w:lineRule="auto"/>
        <w:ind w:firstLine="560" w:firstLineChars="200"/>
        <w:jc w:val="left"/>
        <w:rPr>
          <w:sz w:val="28"/>
          <w:highlight w:val="none"/>
        </w:rPr>
      </w:pPr>
      <w:r>
        <w:rPr>
          <w:rFonts w:hint="eastAsia"/>
          <w:sz w:val="28"/>
          <w:highlight w:val="none"/>
        </w:rPr>
        <w:t>1.1 建筑设计总说明中建筑面积的计算要准确，建筑面积计算应严格按照国家及地方有关规定执行，并根据项目需要及时更新面积计算明细表。</w:t>
      </w:r>
    </w:p>
    <w:p>
      <w:pPr>
        <w:adjustRightInd w:val="0"/>
        <w:snapToGrid w:val="0"/>
        <w:spacing w:line="360" w:lineRule="auto"/>
        <w:ind w:firstLine="560" w:firstLineChars="200"/>
        <w:jc w:val="left"/>
        <w:rPr>
          <w:sz w:val="28"/>
          <w:highlight w:val="none"/>
        </w:rPr>
      </w:pPr>
      <w:r>
        <w:rPr>
          <w:rFonts w:hint="eastAsia"/>
          <w:sz w:val="28"/>
          <w:highlight w:val="none"/>
        </w:rPr>
        <w:t>1.2 建筑设计总说明中各分项工程说明应清晰、齐全，装修做法表中做法标注应反复与设计图纸比对，防止出现图文不对应的情况。</w:t>
      </w:r>
    </w:p>
    <w:p>
      <w:pPr>
        <w:adjustRightInd w:val="0"/>
        <w:snapToGrid w:val="0"/>
        <w:spacing w:line="360" w:lineRule="auto"/>
        <w:ind w:firstLine="560" w:firstLineChars="200"/>
        <w:jc w:val="left"/>
        <w:rPr>
          <w:sz w:val="28"/>
          <w:highlight w:val="none"/>
        </w:rPr>
      </w:pPr>
      <w:bookmarkStart w:id="146" w:name="_Toc212525121"/>
      <w:bookmarkStart w:id="147" w:name="_Toc212523906"/>
      <w:bookmarkStart w:id="148" w:name="_Toc29490"/>
      <w:bookmarkStart w:id="149" w:name="_Toc61006873"/>
      <w:bookmarkStart w:id="150" w:name="_Toc342057085"/>
      <w:r>
        <w:rPr>
          <w:rFonts w:hint="eastAsia"/>
          <w:sz w:val="28"/>
          <w:highlight w:val="none"/>
        </w:rPr>
        <w:t>2、主楼部分设计</w:t>
      </w:r>
      <w:bookmarkEnd w:id="146"/>
      <w:bookmarkEnd w:id="147"/>
      <w:bookmarkEnd w:id="148"/>
      <w:bookmarkEnd w:id="149"/>
      <w:bookmarkEnd w:id="150"/>
    </w:p>
    <w:p>
      <w:pPr>
        <w:adjustRightInd w:val="0"/>
        <w:snapToGrid w:val="0"/>
        <w:spacing w:line="360" w:lineRule="auto"/>
        <w:ind w:firstLine="560" w:firstLineChars="200"/>
        <w:jc w:val="left"/>
        <w:rPr>
          <w:sz w:val="28"/>
          <w:highlight w:val="none"/>
        </w:rPr>
      </w:pPr>
      <w:r>
        <w:rPr>
          <w:rFonts w:hint="eastAsia"/>
          <w:sz w:val="28"/>
          <w:highlight w:val="none"/>
        </w:rPr>
        <w:t>2.1 主楼钢结构使用年限与耐久性应符合现行国家规范要求。</w:t>
      </w:r>
    </w:p>
    <w:p>
      <w:pPr>
        <w:adjustRightInd w:val="0"/>
        <w:snapToGrid w:val="0"/>
        <w:spacing w:line="360" w:lineRule="auto"/>
        <w:ind w:firstLine="560" w:firstLineChars="200"/>
        <w:jc w:val="left"/>
        <w:rPr>
          <w:sz w:val="28"/>
          <w:highlight w:val="none"/>
        </w:rPr>
      </w:pPr>
      <w:r>
        <w:rPr>
          <w:rFonts w:hint="eastAsia"/>
          <w:sz w:val="28"/>
          <w:highlight w:val="none"/>
        </w:rPr>
        <w:t>2.2 结构布局合理，可适应平面布局的变化。</w:t>
      </w:r>
    </w:p>
    <w:p>
      <w:pPr>
        <w:adjustRightInd w:val="0"/>
        <w:snapToGrid w:val="0"/>
        <w:spacing w:line="360" w:lineRule="auto"/>
        <w:ind w:firstLine="560" w:firstLineChars="200"/>
        <w:jc w:val="left"/>
        <w:rPr>
          <w:sz w:val="28"/>
          <w:highlight w:val="none"/>
        </w:rPr>
      </w:pPr>
      <w:r>
        <w:rPr>
          <w:rFonts w:hint="eastAsia"/>
          <w:sz w:val="28"/>
          <w:highlight w:val="none"/>
        </w:rPr>
        <w:t>2.3 建筑平面布局应考虑建筑模数与设计标准化，如套型定型化、模数化、构件批量生产产业化等，并充分考虑通过优化设计提高构件节点的通用化程度，从而提高现场装配效率。</w:t>
      </w:r>
    </w:p>
    <w:p>
      <w:pPr>
        <w:adjustRightInd w:val="0"/>
        <w:snapToGrid w:val="0"/>
        <w:spacing w:line="360" w:lineRule="auto"/>
        <w:ind w:firstLine="560" w:firstLineChars="200"/>
        <w:jc w:val="left"/>
        <w:rPr>
          <w:sz w:val="28"/>
          <w:highlight w:val="none"/>
        </w:rPr>
      </w:pPr>
      <w:r>
        <w:rPr>
          <w:rFonts w:hint="eastAsia"/>
          <w:sz w:val="28"/>
          <w:highlight w:val="none"/>
        </w:rPr>
        <w:t>2.4 着重研究底层大堂的结构和空间效果，提供兼顾经济性及展示、使用效果最佳的方案。</w:t>
      </w:r>
    </w:p>
    <w:p>
      <w:pPr>
        <w:adjustRightInd w:val="0"/>
        <w:snapToGrid w:val="0"/>
        <w:spacing w:line="360" w:lineRule="auto"/>
        <w:ind w:firstLine="560" w:firstLineChars="200"/>
        <w:jc w:val="left"/>
        <w:rPr>
          <w:sz w:val="28"/>
          <w:highlight w:val="none"/>
        </w:rPr>
      </w:pPr>
      <w:r>
        <w:rPr>
          <w:rFonts w:hint="eastAsia"/>
          <w:sz w:val="28"/>
          <w:highlight w:val="none"/>
        </w:rPr>
        <w:t>2.5 建筑各涉水部位的防水做法设计与防水要求应满足相关规范。</w:t>
      </w:r>
    </w:p>
    <w:p>
      <w:pPr>
        <w:adjustRightInd w:val="0"/>
        <w:snapToGrid w:val="0"/>
        <w:spacing w:line="360" w:lineRule="auto"/>
        <w:ind w:firstLine="560" w:firstLineChars="200"/>
        <w:jc w:val="left"/>
        <w:rPr>
          <w:sz w:val="28"/>
          <w:highlight w:val="none"/>
        </w:rPr>
      </w:pPr>
      <w:r>
        <w:rPr>
          <w:rFonts w:hint="eastAsia"/>
          <w:sz w:val="28"/>
          <w:highlight w:val="none"/>
        </w:rPr>
        <w:t>2.6 合理组织雨水排放，雨水口尽量设于隐蔽处。当雨水管暴露时，雨水管颜色应与外墙颜色相近。</w:t>
      </w:r>
    </w:p>
    <w:p>
      <w:pPr>
        <w:adjustRightInd w:val="0"/>
        <w:snapToGrid w:val="0"/>
        <w:spacing w:line="360" w:lineRule="auto"/>
        <w:ind w:firstLine="560" w:firstLineChars="200"/>
        <w:jc w:val="left"/>
        <w:rPr>
          <w:sz w:val="28"/>
          <w:highlight w:val="none"/>
        </w:rPr>
      </w:pPr>
      <w:r>
        <w:rPr>
          <w:rFonts w:hint="eastAsia"/>
          <w:sz w:val="28"/>
          <w:highlight w:val="none"/>
        </w:rPr>
        <w:t>2.7 除各转换电梯外，其余垂直电梯不考虑分区设置。</w:t>
      </w:r>
    </w:p>
    <w:p>
      <w:pPr>
        <w:adjustRightInd w:val="0"/>
        <w:snapToGrid w:val="0"/>
        <w:spacing w:line="360" w:lineRule="auto"/>
        <w:ind w:firstLine="560" w:firstLineChars="200"/>
        <w:jc w:val="left"/>
        <w:rPr>
          <w:sz w:val="28"/>
          <w:highlight w:val="none"/>
        </w:rPr>
      </w:pPr>
      <w:r>
        <w:rPr>
          <w:rFonts w:hint="eastAsia"/>
          <w:sz w:val="28"/>
          <w:highlight w:val="none"/>
        </w:rPr>
        <w:t>2.8 电梯设计（按电梯选型定）</w:t>
      </w:r>
    </w:p>
    <w:p>
      <w:pPr>
        <w:adjustRightInd w:val="0"/>
        <w:snapToGrid w:val="0"/>
        <w:spacing w:line="360" w:lineRule="auto"/>
        <w:ind w:firstLine="560" w:firstLineChars="200"/>
        <w:jc w:val="left"/>
        <w:rPr>
          <w:sz w:val="28"/>
          <w:highlight w:val="none"/>
        </w:rPr>
      </w:pPr>
      <w:r>
        <w:rPr>
          <w:rFonts w:hint="eastAsia"/>
          <w:sz w:val="28"/>
          <w:highlight w:val="none"/>
        </w:rPr>
        <w:t>2.8.1 塔楼垂直电梯载重量为</w:t>
      </w:r>
      <w:r>
        <w:rPr>
          <w:sz w:val="28"/>
          <w:highlight w:val="none"/>
        </w:rPr>
        <w:t>1.6t</w:t>
      </w:r>
      <w:r>
        <w:rPr>
          <w:rFonts w:hint="eastAsia"/>
          <w:sz w:val="28"/>
          <w:highlight w:val="none"/>
        </w:rPr>
        <w:t>，提升速度结合电梯专业公司的意见考虑，尽量做到高效合理，电梯轿箱净高考虑2600-2800。</w:t>
      </w:r>
    </w:p>
    <w:p>
      <w:pPr>
        <w:adjustRightInd w:val="0"/>
        <w:snapToGrid w:val="0"/>
        <w:spacing w:line="360" w:lineRule="auto"/>
        <w:ind w:firstLine="560" w:firstLineChars="200"/>
        <w:jc w:val="left"/>
        <w:rPr>
          <w:sz w:val="28"/>
          <w:highlight w:val="none"/>
        </w:rPr>
      </w:pPr>
      <w:r>
        <w:rPr>
          <w:rFonts w:hint="eastAsia"/>
          <w:sz w:val="28"/>
          <w:highlight w:val="none"/>
        </w:rPr>
        <w:t>2.8.2 自动扶梯额定速度为</w:t>
      </w:r>
      <w:r>
        <w:rPr>
          <w:sz w:val="28"/>
          <w:highlight w:val="none"/>
        </w:rPr>
        <w:t>0.5m/s</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2.8.3 站房地下室至18米上盖平台的转换梯选型载重量为1.15至</w:t>
      </w:r>
      <w:r>
        <w:rPr>
          <w:sz w:val="28"/>
          <w:highlight w:val="none"/>
        </w:rPr>
        <w:t>1.35t</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2.9 主楼退台处设计平台花园，故应考虑覆土厚度、降板高度及结构荷载等。</w:t>
      </w:r>
    </w:p>
    <w:p>
      <w:pPr>
        <w:adjustRightInd w:val="0"/>
        <w:snapToGrid w:val="0"/>
        <w:spacing w:line="360" w:lineRule="auto"/>
        <w:ind w:firstLine="560" w:firstLineChars="200"/>
        <w:jc w:val="left"/>
        <w:rPr>
          <w:sz w:val="28"/>
          <w:highlight w:val="none"/>
        </w:rPr>
      </w:pPr>
      <w:r>
        <w:rPr>
          <w:rFonts w:hint="eastAsia"/>
          <w:sz w:val="28"/>
          <w:highlight w:val="none"/>
        </w:rPr>
        <w:t>2.10 电梯应在井道底部和顶部设置不小于600×600带百叶窗的通气孔；相邻电梯井道之间隔墙上可设风压泄压孔洞。</w:t>
      </w:r>
    </w:p>
    <w:p>
      <w:pPr>
        <w:adjustRightInd w:val="0"/>
        <w:snapToGrid w:val="0"/>
        <w:spacing w:line="360" w:lineRule="auto"/>
        <w:ind w:firstLine="560" w:firstLineChars="200"/>
        <w:jc w:val="left"/>
        <w:rPr>
          <w:sz w:val="28"/>
          <w:highlight w:val="none"/>
        </w:rPr>
      </w:pPr>
      <w:r>
        <w:rPr>
          <w:rFonts w:hint="eastAsia"/>
          <w:sz w:val="28"/>
          <w:highlight w:val="none"/>
        </w:rPr>
        <w:t>2.11 电梯门：电梯机房门宜净宽1500，便于物业维修设备。</w:t>
      </w:r>
    </w:p>
    <w:p>
      <w:pPr>
        <w:adjustRightInd w:val="0"/>
        <w:snapToGrid w:val="0"/>
        <w:spacing w:line="360" w:lineRule="auto"/>
        <w:ind w:firstLine="560" w:firstLineChars="200"/>
        <w:jc w:val="left"/>
        <w:rPr>
          <w:sz w:val="28"/>
          <w:highlight w:val="none"/>
        </w:rPr>
      </w:pPr>
      <w:r>
        <w:rPr>
          <w:rFonts w:hint="eastAsia"/>
          <w:sz w:val="28"/>
          <w:highlight w:val="none"/>
        </w:rPr>
        <w:t>2.12 电梯的控制面板按钮留洞宜设于两电梯门洞连接墙体的中心位置，以利于电梯门套的安装。单台电梯控制按钮留洞应设于电梯门套宽度中心位置，其位置和高度使用要尽量方便，预留孔的尺寸可比要求四周均宽出25mm。</w:t>
      </w:r>
    </w:p>
    <w:p>
      <w:pPr>
        <w:adjustRightInd w:val="0"/>
        <w:snapToGrid w:val="0"/>
        <w:spacing w:line="360" w:lineRule="auto"/>
        <w:ind w:firstLine="560" w:firstLineChars="200"/>
        <w:jc w:val="left"/>
        <w:rPr>
          <w:sz w:val="28"/>
          <w:highlight w:val="none"/>
        </w:rPr>
      </w:pPr>
      <w:r>
        <w:rPr>
          <w:rFonts w:hint="eastAsia"/>
          <w:sz w:val="28"/>
          <w:highlight w:val="none"/>
        </w:rPr>
        <w:t>2.13 电梯配套功能：应明确轿箱内摄像、电话（五方通话）等做法及要求，电梯机房至控制管理中心（消防控制室）应设计有视频线、电话线。</w:t>
      </w:r>
    </w:p>
    <w:p>
      <w:pPr>
        <w:adjustRightInd w:val="0"/>
        <w:snapToGrid w:val="0"/>
        <w:spacing w:line="360" w:lineRule="auto"/>
        <w:ind w:firstLine="560" w:firstLineChars="200"/>
        <w:jc w:val="left"/>
        <w:rPr>
          <w:sz w:val="28"/>
          <w:highlight w:val="none"/>
        </w:rPr>
      </w:pPr>
      <w:r>
        <w:rPr>
          <w:rFonts w:hint="eastAsia"/>
          <w:sz w:val="28"/>
          <w:highlight w:val="none"/>
        </w:rPr>
        <w:t>2.14 机房：机房应有满足设备尺寸要求的进出口；设置通风设备及吊钩，机房间应采用防火墙分隔；满足通风和散热需要，明确风扇安装作法；注意机房温度控制所需通风设备的预留洞、电气管线、插座是否设置；机房宜自然采光通风，否则应考虑通风抽湿设施；不应在机房内直接穿越水管和烟道；应注意机房屋顶用于吊装设备的梁位置及梁上吊环是否正确。</w:t>
      </w:r>
    </w:p>
    <w:p>
      <w:pPr>
        <w:adjustRightInd w:val="0"/>
        <w:snapToGrid w:val="0"/>
        <w:spacing w:line="360" w:lineRule="auto"/>
        <w:ind w:firstLine="560" w:firstLineChars="200"/>
        <w:jc w:val="left"/>
        <w:rPr>
          <w:sz w:val="28"/>
          <w:highlight w:val="none"/>
        </w:rPr>
      </w:pPr>
      <w:r>
        <w:rPr>
          <w:rFonts w:hint="eastAsia"/>
          <w:sz w:val="28"/>
          <w:highlight w:val="none"/>
        </w:rPr>
        <w:t>2.15 电梯防、排水：电梯门口应做1%反坡，防止梯井进水，靠门一侧可比外侧高15-20mm；转换核心筒电梯井底增加排水设施，单独设置集水井，容量不应小于2立方米，布置在临近电梯底坑的地方，并用暗管连接。</w:t>
      </w:r>
    </w:p>
    <w:p>
      <w:pPr>
        <w:adjustRightInd w:val="0"/>
        <w:snapToGrid w:val="0"/>
        <w:spacing w:line="360" w:lineRule="auto"/>
        <w:ind w:firstLine="560" w:firstLineChars="200"/>
        <w:jc w:val="left"/>
        <w:rPr>
          <w:sz w:val="28"/>
          <w:highlight w:val="none"/>
        </w:rPr>
      </w:pPr>
      <w:bookmarkStart w:id="151" w:name="_Toc61006874"/>
      <w:r>
        <w:rPr>
          <w:rFonts w:hint="eastAsia"/>
          <w:sz w:val="28"/>
          <w:highlight w:val="none"/>
        </w:rPr>
        <w:t>3、商业部分：</w:t>
      </w:r>
      <w:bookmarkEnd w:id="151"/>
    </w:p>
    <w:p>
      <w:pPr>
        <w:adjustRightInd w:val="0"/>
        <w:snapToGrid w:val="0"/>
        <w:spacing w:line="360" w:lineRule="auto"/>
        <w:ind w:firstLine="560" w:firstLineChars="200"/>
        <w:jc w:val="left"/>
        <w:rPr>
          <w:sz w:val="28"/>
          <w:highlight w:val="none"/>
        </w:rPr>
      </w:pPr>
      <w:r>
        <w:rPr>
          <w:rFonts w:hint="eastAsia"/>
          <w:sz w:val="28"/>
          <w:highlight w:val="none"/>
        </w:rPr>
        <w:t>3.1 按已确认的方案平面图及白云站站房相关施工图纸为基础，进行方案深化及施工图设计。办公产品层高分4.5米层高3.5米两种。</w:t>
      </w:r>
    </w:p>
    <w:p>
      <w:pPr>
        <w:adjustRightInd w:val="0"/>
        <w:snapToGrid w:val="0"/>
        <w:spacing w:line="360" w:lineRule="auto"/>
        <w:ind w:firstLine="560" w:firstLineChars="200"/>
        <w:jc w:val="left"/>
        <w:rPr>
          <w:sz w:val="28"/>
          <w:highlight w:val="none"/>
        </w:rPr>
      </w:pPr>
      <w:r>
        <w:rPr>
          <w:rFonts w:hint="eastAsia"/>
          <w:sz w:val="28"/>
          <w:highlight w:val="none"/>
        </w:rPr>
        <w:t>3.2 卫生间设置：配套商业各铺内预留卫生间上下水条件，卫生洁具等由业主后期装修自行处理。当配套商业为集中式布局时，卫生间设计间距</w:t>
      </w:r>
      <w:r>
        <w:rPr>
          <w:sz w:val="28"/>
          <w:highlight w:val="none"/>
        </w:rPr>
        <w:t>80</w:t>
      </w:r>
      <w:r>
        <w:rPr>
          <w:rFonts w:hint="eastAsia"/>
          <w:sz w:val="28"/>
          <w:highlight w:val="none"/>
        </w:rPr>
        <w:t>至</w:t>
      </w:r>
      <w:r>
        <w:rPr>
          <w:sz w:val="28"/>
          <w:highlight w:val="none"/>
        </w:rPr>
        <w:t>100</w:t>
      </w:r>
      <w:r>
        <w:rPr>
          <w:rFonts w:hint="eastAsia"/>
          <w:sz w:val="28"/>
          <w:highlight w:val="none"/>
        </w:rPr>
        <w:t>米，每处卫生间面积</w:t>
      </w:r>
      <w:r>
        <w:rPr>
          <w:sz w:val="28"/>
          <w:highlight w:val="none"/>
        </w:rPr>
        <w:t>70</w:t>
      </w:r>
      <w:r>
        <w:rPr>
          <w:rFonts w:hint="eastAsia"/>
          <w:sz w:val="28"/>
          <w:highlight w:val="none"/>
        </w:rPr>
        <w:t>至</w:t>
      </w:r>
      <w:r>
        <w:rPr>
          <w:sz w:val="28"/>
          <w:highlight w:val="none"/>
        </w:rPr>
        <w:t>100</w:t>
      </w:r>
      <w:r>
        <w:rPr>
          <w:rFonts w:hint="eastAsia"/>
          <w:sz w:val="28"/>
          <w:highlight w:val="none"/>
        </w:rPr>
        <w:t>平方米，蹲位：男厕不少于</w:t>
      </w:r>
      <w:r>
        <w:rPr>
          <w:sz w:val="28"/>
          <w:highlight w:val="none"/>
        </w:rPr>
        <w:t>3</w:t>
      </w:r>
      <w:r>
        <w:rPr>
          <w:rFonts w:hint="eastAsia"/>
          <w:sz w:val="28"/>
          <w:highlight w:val="none"/>
        </w:rPr>
        <w:t>个；女厕不少于</w:t>
      </w:r>
      <w:r>
        <w:rPr>
          <w:sz w:val="28"/>
          <w:highlight w:val="none"/>
        </w:rPr>
        <w:t>6</w:t>
      </w:r>
      <w:r>
        <w:rPr>
          <w:rFonts w:hint="eastAsia"/>
          <w:sz w:val="28"/>
          <w:highlight w:val="none"/>
        </w:rPr>
        <w:t>个；男卫生间小便池不少于</w:t>
      </w:r>
      <w:r>
        <w:rPr>
          <w:sz w:val="28"/>
          <w:highlight w:val="none"/>
        </w:rPr>
        <w:t>3</w:t>
      </w:r>
      <w:r>
        <w:rPr>
          <w:rFonts w:hint="eastAsia"/>
          <w:sz w:val="28"/>
          <w:highlight w:val="none"/>
        </w:rPr>
        <w:t>个；公用洗手盆不少于</w:t>
      </w:r>
      <w:r>
        <w:rPr>
          <w:sz w:val="28"/>
          <w:highlight w:val="none"/>
        </w:rPr>
        <w:t>3</w:t>
      </w:r>
      <w:r>
        <w:rPr>
          <w:rFonts w:hint="eastAsia"/>
          <w:sz w:val="28"/>
          <w:highlight w:val="none"/>
        </w:rPr>
        <w:t>个，设置清洁工具间，且每层考虑一处无障碍卫生间。</w:t>
      </w:r>
    </w:p>
    <w:p>
      <w:pPr>
        <w:adjustRightInd w:val="0"/>
        <w:snapToGrid w:val="0"/>
        <w:spacing w:line="360" w:lineRule="auto"/>
        <w:ind w:firstLine="560" w:firstLineChars="200"/>
        <w:jc w:val="left"/>
        <w:rPr>
          <w:sz w:val="28"/>
          <w:highlight w:val="none"/>
        </w:rPr>
      </w:pPr>
      <w:r>
        <w:rPr>
          <w:rFonts w:hint="eastAsia"/>
          <w:sz w:val="28"/>
          <w:highlight w:val="none"/>
        </w:rPr>
        <w:t>3.3 底层商业业态与布局以发包人提供的业态布置方案为准。餐饮商铺应预留厨房点位位置和排油烟位置，厨房设计时考虑蓄水池、</w:t>
      </w:r>
      <w:r>
        <w:rPr>
          <w:sz w:val="28"/>
          <w:highlight w:val="none"/>
        </w:rPr>
        <w:t>油污池</w:t>
      </w:r>
      <w:r>
        <w:rPr>
          <w:rFonts w:hint="eastAsia"/>
          <w:sz w:val="28"/>
          <w:highlight w:val="none"/>
        </w:rPr>
        <w:t>。餐饮区考虑集中设置排油烟井并尽量高空排放或采取其它净化措施。</w:t>
      </w:r>
    </w:p>
    <w:p>
      <w:pPr>
        <w:adjustRightInd w:val="0"/>
        <w:snapToGrid w:val="0"/>
        <w:spacing w:line="360" w:lineRule="auto"/>
        <w:ind w:firstLine="560" w:firstLineChars="200"/>
        <w:jc w:val="left"/>
        <w:rPr>
          <w:sz w:val="28"/>
          <w:highlight w:val="none"/>
        </w:rPr>
      </w:pPr>
      <w:r>
        <w:rPr>
          <w:rFonts w:hint="eastAsia"/>
          <w:sz w:val="28"/>
          <w:highlight w:val="none"/>
        </w:rPr>
        <w:t>3.4 管道井：商铺强弱电、供水等管道井宜于公共通道集中设置，并将管井面向通道开门，尽量减少在商铺内设置管道井，如确需设置管道井，其位置不能占据商铺的临街面。</w:t>
      </w:r>
    </w:p>
    <w:p>
      <w:pPr>
        <w:adjustRightInd w:val="0"/>
        <w:snapToGrid w:val="0"/>
        <w:spacing w:line="360" w:lineRule="auto"/>
        <w:ind w:firstLine="560" w:firstLineChars="200"/>
        <w:jc w:val="left"/>
        <w:rPr>
          <w:sz w:val="28"/>
          <w:highlight w:val="none"/>
        </w:rPr>
      </w:pPr>
      <w:r>
        <w:rPr>
          <w:rFonts w:hint="eastAsia"/>
          <w:sz w:val="28"/>
          <w:highlight w:val="none"/>
        </w:rPr>
        <w:t>3.5 配套商业层高应充分考虑餐饮业态对商业的影响。</w:t>
      </w:r>
    </w:p>
    <w:p>
      <w:pPr>
        <w:adjustRightInd w:val="0"/>
        <w:snapToGrid w:val="0"/>
        <w:spacing w:line="360" w:lineRule="auto"/>
        <w:ind w:firstLine="560" w:firstLineChars="200"/>
        <w:jc w:val="left"/>
        <w:rPr>
          <w:sz w:val="28"/>
          <w:highlight w:val="none"/>
        </w:rPr>
      </w:pPr>
      <w:r>
        <w:rPr>
          <w:rFonts w:hint="eastAsia"/>
          <w:sz w:val="28"/>
          <w:highlight w:val="none"/>
        </w:rPr>
        <w:t>3.6 公共区域要充分结合内装设计的广告规划布点图（包括电子显示屏、落地式店招、墙体广告等）和代理公司规划的多种经营布点图预留电源及上下水。</w:t>
      </w:r>
    </w:p>
    <w:p>
      <w:pPr>
        <w:adjustRightInd w:val="0"/>
        <w:snapToGrid w:val="0"/>
        <w:spacing w:line="360" w:lineRule="auto"/>
        <w:ind w:firstLine="560" w:firstLineChars="200"/>
        <w:jc w:val="left"/>
        <w:rPr>
          <w:sz w:val="28"/>
          <w:highlight w:val="none"/>
        </w:rPr>
      </w:pPr>
      <w:r>
        <w:rPr>
          <w:rFonts w:hint="eastAsia"/>
          <w:sz w:val="28"/>
          <w:highlight w:val="none"/>
        </w:rPr>
        <w:t>3.7 物管用房内使用的中央空调、给排水、强弱电系统（消防、电话、网络）等均应独立设置。</w:t>
      </w:r>
    </w:p>
    <w:p>
      <w:pPr>
        <w:adjustRightInd w:val="0"/>
        <w:snapToGrid w:val="0"/>
        <w:spacing w:line="360" w:lineRule="auto"/>
        <w:ind w:firstLine="560" w:firstLineChars="200"/>
        <w:jc w:val="left"/>
        <w:rPr>
          <w:sz w:val="28"/>
          <w:highlight w:val="none"/>
        </w:rPr>
      </w:pPr>
      <w:r>
        <w:rPr>
          <w:rFonts w:hint="eastAsia"/>
          <w:sz w:val="28"/>
          <w:highlight w:val="none"/>
        </w:rPr>
        <w:t>3.8 垃圾房的位置应设在靠近场地与建筑外侧，或货梯口及卸货区的附近。</w:t>
      </w:r>
    </w:p>
    <w:p>
      <w:pPr>
        <w:adjustRightInd w:val="0"/>
        <w:snapToGrid w:val="0"/>
        <w:spacing w:line="360" w:lineRule="auto"/>
        <w:ind w:firstLine="560" w:firstLineChars="200"/>
        <w:jc w:val="left"/>
        <w:rPr>
          <w:sz w:val="28"/>
          <w:highlight w:val="none"/>
        </w:rPr>
      </w:pPr>
      <w:r>
        <w:rPr>
          <w:rFonts w:hint="eastAsia"/>
          <w:sz w:val="28"/>
          <w:highlight w:val="none"/>
        </w:rPr>
        <w:t>3.9 考虑到设置较多餐饮商铺，建筑靠后勤入口一侧应考虑卸货区设计。</w:t>
      </w:r>
    </w:p>
    <w:p>
      <w:pPr>
        <w:adjustRightInd w:val="0"/>
        <w:snapToGrid w:val="0"/>
        <w:spacing w:line="360" w:lineRule="auto"/>
        <w:ind w:firstLine="560" w:firstLineChars="200"/>
        <w:jc w:val="left"/>
        <w:rPr>
          <w:sz w:val="28"/>
          <w:highlight w:val="none"/>
        </w:rPr>
      </w:pPr>
      <w:r>
        <w:rPr>
          <w:rFonts w:hint="eastAsia"/>
          <w:sz w:val="28"/>
          <w:highlight w:val="none"/>
        </w:rPr>
        <w:t>3.10 设备间和值班室：变电所、制冷机房、消防控制中心规划在同一层相邻区域，以方便运行管理；应为供电局预留（一般为</w:t>
      </w:r>
      <w:r>
        <w:rPr>
          <w:sz w:val="28"/>
          <w:highlight w:val="none"/>
        </w:rPr>
        <w:t>10KV</w:t>
      </w:r>
      <w:r>
        <w:rPr>
          <w:rFonts w:hint="eastAsia"/>
          <w:sz w:val="28"/>
          <w:highlight w:val="none"/>
        </w:rPr>
        <w:t>）开闭站的位置；为方便对各主机设备的管控，设备房必须有空调设施（通风和散热）；所有强弱电间门应向外开；值班室的位置可由发包人提供或确认，值班室的建造标准可参照物管用房的标准。</w:t>
      </w:r>
    </w:p>
    <w:p>
      <w:pPr>
        <w:adjustRightInd w:val="0"/>
        <w:snapToGrid w:val="0"/>
        <w:spacing w:line="360" w:lineRule="auto"/>
        <w:ind w:firstLine="560" w:firstLineChars="200"/>
        <w:jc w:val="left"/>
        <w:rPr>
          <w:sz w:val="28"/>
          <w:highlight w:val="none"/>
        </w:rPr>
      </w:pPr>
      <w:bookmarkStart w:id="152" w:name="_Toc212525140"/>
      <w:bookmarkStart w:id="153" w:name="_Toc61006875"/>
      <w:bookmarkStart w:id="154" w:name="_Toc342057086"/>
      <w:bookmarkStart w:id="155" w:name="_Toc5324"/>
      <w:bookmarkStart w:id="156" w:name="_Toc212523909"/>
      <w:r>
        <w:rPr>
          <w:rFonts w:hint="eastAsia"/>
          <w:sz w:val="28"/>
          <w:highlight w:val="none"/>
        </w:rPr>
        <w:t>4、立面造型</w:t>
      </w:r>
      <w:bookmarkEnd w:id="152"/>
      <w:bookmarkEnd w:id="153"/>
      <w:bookmarkEnd w:id="154"/>
      <w:bookmarkEnd w:id="155"/>
      <w:bookmarkEnd w:id="156"/>
    </w:p>
    <w:p>
      <w:pPr>
        <w:adjustRightInd w:val="0"/>
        <w:snapToGrid w:val="0"/>
        <w:spacing w:line="360" w:lineRule="auto"/>
        <w:ind w:firstLine="560" w:firstLineChars="200"/>
        <w:jc w:val="left"/>
        <w:rPr>
          <w:sz w:val="28"/>
          <w:highlight w:val="none"/>
        </w:rPr>
      </w:pPr>
      <w:r>
        <w:rPr>
          <w:rFonts w:hint="eastAsia"/>
          <w:sz w:val="28"/>
          <w:highlight w:val="none"/>
        </w:rPr>
        <w:t>4.1 立面设计须与方案设计单位紧密配合，并提供详细立面设计所需的设计条件，包括首层出入口位置、外墙门窗（含百页窗）洞口位置、出屋面楼梯间、设备用房、风口、管井等设计条件，并根据立面设计要求适当调整外立面的各种洞口尺寸及位置。</w:t>
      </w:r>
    </w:p>
    <w:p>
      <w:pPr>
        <w:adjustRightInd w:val="0"/>
        <w:snapToGrid w:val="0"/>
        <w:spacing w:line="360" w:lineRule="auto"/>
        <w:ind w:firstLine="560" w:firstLineChars="200"/>
        <w:jc w:val="left"/>
        <w:rPr>
          <w:sz w:val="28"/>
          <w:highlight w:val="none"/>
        </w:rPr>
      </w:pPr>
      <w:r>
        <w:rPr>
          <w:rFonts w:hint="eastAsia"/>
          <w:sz w:val="28"/>
          <w:highlight w:val="none"/>
        </w:rPr>
        <w:t>4.2 近人尺度范围内的立面、入口、大堂等重点部位需精心设计，提供局部放大图。</w:t>
      </w:r>
    </w:p>
    <w:p>
      <w:pPr>
        <w:adjustRightInd w:val="0"/>
        <w:snapToGrid w:val="0"/>
        <w:spacing w:line="360" w:lineRule="auto"/>
        <w:ind w:firstLine="560" w:firstLineChars="200"/>
        <w:jc w:val="left"/>
        <w:rPr>
          <w:sz w:val="28"/>
          <w:highlight w:val="none"/>
        </w:rPr>
      </w:pPr>
      <w:bookmarkStart w:id="157" w:name="_Toc212525142"/>
      <w:bookmarkStart w:id="158" w:name="_Toc212523911"/>
      <w:r>
        <w:rPr>
          <w:rFonts w:hint="eastAsia"/>
          <w:sz w:val="28"/>
          <w:highlight w:val="none"/>
        </w:rPr>
        <w:t>4.3 商业外立面主要材料：</w:t>
      </w:r>
      <w:bookmarkEnd w:id="157"/>
      <w:bookmarkEnd w:id="158"/>
    </w:p>
    <w:p>
      <w:pPr>
        <w:adjustRightInd w:val="0"/>
        <w:snapToGrid w:val="0"/>
        <w:spacing w:line="360" w:lineRule="auto"/>
        <w:ind w:firstLine="560" w:firstLineChars="200"/>
        <w:jc w:val="left"/>
        <w:rPr>
          <w:sz w:val="28"/>
          <w:highlight w:val="none"/>
        </w:rPr>
      </w:pPr>
      <w:r>
        <w:rPr>
          <w:rFonts w:hint="eastAsia"/>
          <w:sz w:val="28"/>
          <w:highlight w:val="none"/>
        </w:rPr>
        <w:t>4.3.1 以铝板加玻璃幕墙的组合为主题，由设计方根据立面设计要求结合外墙构造进行节点深化。</w:t>
      </w:r>
    </w:p>
    <w:p>
      <w:pPr>
        <w:adjustRightInd w:val="0"/>
        <w:snapToGrid w:val="0"/>
        <w:spacing w:line="360" w:lineRule="auto"/>
        <w:ind w:firstLine="560" w:firstLineChars="200"/>
        <w:jc w:val="left"/>
        <w:rPr>
          <w:sz w:val="28"/>
          <w:highlight w:val="none"/>
        </w:rPr>
      </w:pPr>
      <w:r>
        <w:rPr>
          <w:rFonts w:hint="eastAsia"/>
          <w:sz w:val="28"/>
          <w:highlight w:val="none"/>
        </w:rPr>
        <w:t>4.3.2 结合立面，充分考虑广告位的设计，引导商业人流，达到与整体的风格统一。</w:t>
      </w:r>
    </w:p>
    <w:p>
      <w:pPr>
        <w:adjustRightInd w:val="0"/>
        <w:snapToGrid w:val="0"/>
        <w:spacing w:line="360" w:lineRule="auto"/>
        <w:ind w:firstLine="560" w:firstLineChars="200"/>
        <w:jc w:val="left"/>
        <w:rPr>
          <w:sz w:val="28"/>
          <w:highlight w:val="none"/>
        </w:rPr>
      </w:pPr>
      <w:r>
        <w:rPr>
          <w:rFonts w:hint="eastAsia"/>
          <w:sz w:val="28"/>
          <w:highlight w:val="none"/>
        </w:rPr>
        <w:t>4.3.3 外立面设计需将各材料的饰面画出详细的分割设计图</w:t>
      </w:r>
      <w:r>
        <w:rPr>
          <w:sz w:val="28"/>
          <w:highlight w:val="none"/>
        </w:rPr>
        <w:t>,</w:t>
      </w:r>
      <w:r>
        <w:rPr>
          <w:rFonts w:hint="eastAsia"/>
          <w:sz w:val="28"/>
          <w:highlight w:val="none"/>
        </w:rPr>
        <w:t>详细标注各种尺寸、颜色、材料、做法；尤其需注意转角处与不同材料交界处的细部处理。</w:t>
      </w:r>
    </w:p>
    <w:p>
      <w:pPr>
        <w:adjustRightInd w:val="0"/>
        <w:snapToGrid w:val="0"/>
        <w:spacing w:line="360" w:lineRule="auto"/>
        <w:ind w:firstLine="560" w:firstLineChars="200"/>
        <w:jc w:val="left"/>
        <w:rPr>
          <w:sz w:val="28"/>
          <w:highlight w:val="none"/>
        </w:rPr>
      </w:pPr>
      <w:r>
        <w:rPr>
          <w:rFonts w:hint="eastAsia"/>
          <w:sz w:val="28"/>
          <w:highlight w:val="none"/>
        </w:rPr>
        <w:t>4.3.4 立面设计需考虑室外空调机的隐蔽，减少对立面的影响。</w:t>
      </w:r>
    </w:p>
    <w:p>
      <w:pPr>
        <w:adjustRightInd w:val="0"/>
        <w:snapToGrid w:val="0"/>
        <w:spacing w:line="360" w:lineRule="auto"/>
        <w:ind w:firstLine="560" w:firstLineChars="200"/>
        <w:jc w:val="left"/>
        <w:rPr>
          <w:sz w:val="28"/>
          <w:highlight w:val="none"/>
        </w:rPr>
      </w:pPr>
      <w:r>
        <w:rPr>
          <w:rFonts w:hint="eastAsia"/>
          <w:sz w:val="28"/>
          <w:highlight w:val="none"/>
        </w:rPr>
        <w:t>4.3.5 对建筑各不同部位需提供墙身设计详图，且该详图范围为本工程18米平台盖板至屋面女儿墙处，墙地面交接、装饰构件、屋顶、女儿墙等节点均需细化。</w:t>
      </w:r>
    </w:p>
    <w:p>
      <w:pPr>
        <w:adjustRightInd w:val="0"/>
        <w:snapToGrid w:val="0"/>
        <w:spacing w:line="360" w:lineRule="auto"/>
        <w:ind w:firstLine="560" w:firstLineChars="200"/>
        <w:jc w:val="left"/>
        <w:rPr>
          <w:sz w:val="28"/>
          <w:highlight w:val="none"/>
        </w:rPr>
      </w:pPr>
      <w:r>
        <w:rPr>
          <w:rFonts w:hint="eastAsia"/>
          <w:sz w:val="28"/>
          <w:highlight w:val="none"/>
        </w:rPr>
        <w:t>4.3.6 协调幕墙设计、泛光设计等影响立面效果的深化设计。</w:t>
      </w:r>
    </w:p>
    <w:p>
      <w:pPr>
        <w:adjustRightInd w:val="0"/>
        <w:snapToGrid w:val="0"/>
        <w:spacing w:line="360" w:lineRule="auto"/>
        <w:ind w:firstLine="560" w:firstLineChars="200"/>
        <w:jc w:val="left"/>
        <w:rPr>
          <w:sz w:val="28"/>
          <w:highlight w:val="none"/>
        </w:rPr>
      </w:pPr>
      <w:r>
        <w:rPr>
          <w:rFonts w:hint="eastAsia"/>
          <w:sz w:val="28"/>
          <w:highlight w:val="none"/>
        </w:rPr>
        <w:t>4.3.7 重点解决建筑物内各种管线综合设计，使建筑物内部各种管线既能满足设计要求，又能满足各商业净高的要求。</w:t>
      </w:r>
    </w:p>
    <w:p>
      <w:pPr>
        <w:adjustRightInd w:val="0"/>
        <w:snapToGrid w:val="0"/>
        <w:spacing w:line="360" w:lineRule="auto"/>
        <w:ind w:firstLine="560" w:firstLineChars="200"/>
        <w:jc w:val="left"/>
        <w:rPr>
          <w:sz w:val="28"/>
          <w:highlight w:val="none"/>
        </w:rPr>
      </w:pPr>
      <w:r>
        <w:rPr>
          <w:rFonts w:hint="eastAsia"/>
          <w:sz w:val="28"/>
          <w:highlight w:val="none"/>
        </w:rPr>
        <w:t>4.3.8 每栋建筑要求给出至少</w:t>
      </w:r>
      <w:r>
        <w:rPr>
          <w:sz w:val="28"/>
          <w:highlight w:val="none"/>
        </w:rPr>
        <w:t>2</w:t>
      </w:r>
      <w:r>
        <w:rPr>
          <w:rFonts w:hint="eastAsia"/>
          <w:sz w:val="28"/>
          <w:highlight w:val="none"/>
        </w:rPr>
        <w:t>个组合体的纵横剖面，以及有层高变化部位的剖面、出屋面的各种构件与构架的平面及剖面图、塔楼通向裙房屋面的出入口等特殊位置的做法图纸。</w:t>
      </w:r>
    </w:p>
    <w:p>
      <w:pPr>
        <w:adjustRightInd w:val="0"/>
        <w:snapToGrid w:val="0"/>
        <w:spacing w:line="360" w:lineRule="auto"/>
        <w:ind w:firstLine="560" w:firstLineChars="200"/>
        <w:jc w:val="left"/>
        <w:rPr>
          <w:sz w:val="28"/>
          <w:highlight w:val="none"/>
        </w:rPr>
      </w:pPr>
      <w:r>
        <w:rPr>
          <w:rFonts w:hint="eastAsia"/>
          <w:sz w:val="28"/>
          <w:highlight w:val="none"/>
        </w:rPr>
        <w:t>4.3.9 墙身节点要索引立面各个特殊构造部位，包括装修、节能保温、广告灯箱等部位的控制尺寸。</w:t>
      </w:r>
    </w:p>
    <w:p>
      <w:pPr>
        <w:adjustRightInd w:val="0"/>
        <w:snapToGrid w:val="0"/>
        <w:spacing w:line="360" w:lineRule="auto"/>
        <w:ind w:firstLine="560" w:firstLineChars="200"/>
        <w:jc w:val="left"/>
        <w:rPr>
          <w:sz w:val="28"/>
          <w:highlight w:val="none"/>
        </w:rPr>
      </w:pPr>
      <w:bookmarkStart w:id="159" w:name="_Toc61006876"/>
      <w:r>
        <w:rPr>
          <w:rFonts w:hint="eastAsia"/>
          <w:sz w:val="28"/>
          <w:highlight w:val="none"/>
        </w:rPr>
        <w:t>5、消防及人防</w:t>
      </w:r>
      <w:bookmarkEnd w:id="159"/>
    </w:p>
    <w:p>
      <w:pPr>
        <w:adjustRightInd w:val="0"/>
        <w:snapToGrid w:val="0"/>
        <w:spacing w:line="360" w:lineRule="auto"/>
        <w:ind w:firstLine="560" w:firstLineChars="200"/>
        <w:jc w:val="left"/>
        <w:rPr>
          <w:sz w:val="28"/>
          <w:highlight w:val="none"/>
        </w:rPr>
      </w:pPr>
      <w:r>
        <w:rPr>
          <w:rFonts w:hint="eastAsia"/>
          <w:sz w:val="28"/>
          <w:highlight w:val="none"/>
        </w:rPr>
        <w:t>5.1 消防设计：满足民用建筑高层防火设计规范及广州市消防部门的消防设计要求。消防设计应主动配合发包人与当地消防部门沟通，并根据消防部门意见合理进行消防设计。</w:t>
      </w:r>
    </w:p>
    <w:p>
      <w:pPr>
        <w:adjustRightInd w:val="0"/>
        <w:snapToGrid w:val="0"/>
        <w:spacing w:line="360" w:lineRule="auto"/>
        <w:ind w:firstLine="560" w:firstLineChars="200"/>
        <w:jc w:val="left"/>
        <w:rPr>
          <w:sz w:val="28"/>
          <w:highlight w:val="none"/>
        </w:rPr>
      </w:pPr>
      <w:r>
        <w:rPr>
          <w:rFonts w:hint="eastAsia"/>
          <w:sz w:val="28"/>
          <w:highlight w:val="none"/>
        </w:rPr>
        <w:t>5.2 防火分区面积、疏散宽度满足规范及消防部门要求即可，以节约投资成本。</w:t>
      </w:r>
    </w:p>
    <w:p>
      <w:pPr>
        <w:adjustRightInd w:val="0"/>
        <w:snapToGrid w:val="0"/>
        <w:spacing w:line="360" w:lineRule="auto"/>
        <w:ind w:firstLine="560" w:firstLineChars="200"/>
        <w:jc w:val="left"/>
        <w:rPr>
          <w:sz w:val="28"/>
          <w:highlight w:val="none"/>
        </w:rPr>
      </w:pPr>
      <w:r>
        <w:rPr>
          <w:rFonts w:hint="eastAsia"/>
          <w:sz w:val="28"/>
          <w:highlight w:val="none"/>
        </w:rPr>
        <w:t>5.3 防火设施如卷帘、防火门窗等设备设施满足规范及消防部门要求即可，不得随意提高等级。</w:t>
      </w:r>
    </w:p>
    <w:p>
      <w:pPr>
        <w:adjustRightInd w:val="0"/>
        <w:snapToGrid w:val="0"/>
        <w:spacing w:line="360" w:lineRule="auto"/>
        <w:ind w:firstLine="560" w:firstLineChars="200"/>
        <w:jc w:val="left"/>
        <w:rPr>
          <w:sz w:val="28"/>
          <w:highlight w:val="none"/>
        </w:rPr>
      </w:pPr>
      <w:r>
        <w:rPr>
          <w:rFonts w:hint="eastAsia"/>
          <w:sz w:val="28"/>
          <w:highlight w:val="none"/>
        </w:rPr>
        <w:t>5.4 本工程不考虑人民防空地下室工程设计。</w:t>
      </w:r>
    </w:p>
    <w:p>
      <w:pPr>
        <w:adjustRightInd w:val="0"/>
        <w:snapToGrid w:val="0"/>
        <w:spacing w:line="360" w:lineRule="auto"/>
        <w:ind w:firstLine="560" w:firstLineChars="200"/>
        <w:jc w:val="left"/>
        <w:rPr>
          <w:sz w:val="28"/>
          <w:highlight w:val="none"/>
        </w:rPr>
      </w:pPr>
      <w:bookmarkStart w:id="160" w:name="_Toc212523916"/>
      <w:bookmarkStart w:id="161" w:name="_Toc27265"/>
      <w:bookmarkStart w:id="162" w:name="_Toc342057089"/>
      <w:bookmarkStart w:id="163" w:name="_Toc212525147"/>
      <w:bookmarkStart w:id="164" w:name="_Toc61006877"/>
      <w:r>
        <w:rPr>
          <w:rFonts w:hint="eastAsia"/>
          <w:sz w:val="28"/>
          <w:highlight w:val="none"/>
        </w:rPr>
        <w:t>6、室内装修设计深度</w:t>
      </w:r>
      <w:bookmarkEnd w:id="160"/>
      <w:bookmarkEnd w:id="161"/>
      <w:bookmarkEnd w:id="162"/>
      <w:bookmarkEnd w:id="163"/>
      <w:bookmarkEnd w:id="164"/>
    </w:p>
    <w:p>
      <w:pPr>
        <w:adjustRightInd w:val="0"/>
        <w:snapToGrid w:val="0"/>
        <w:spacing w:line="360" w:lineRule="auto"/>
        <w:ind w:firstLine="560" w:firstLineChars="200"/>
        <w:jc w:val="left"/>
        <w:rPr>
          <w:sz w:val="28"/>
          <w:highlight w:val="none"/>
        </w:rPr>
      </w:pPr>
      <w:r>
        <w:rPr>
          <w:rFonts w:hint="eastAsia"/>
          <w:sz w:val="28"/>
          <w:highlight w:val="none"/>
        </w:rPr>
        <w:t>施工图设计应按照室内精装设计所提条件进行土建相关装修尺寸等的预留。</w:t>
      </w:r>
    </w:p>
    <w:p>
      <w:pPr>
        <w:adjustRightInd w:val="0"/>
        <w:snapToGrid w:val="0"/>
        <w:spacing w:line="360" w:lineRule="auto"/>
        <w:ind w:firstLine="560" w:firstLineChars="200"/>
        <w:jc w:val="left"/>
        <w:rPr>
          <w:sz w:val="28"/>
          <w:highlight w:val="none"/>
        </w:rPr>
      </w:pPr>
      <w:bookmarkStart w:id="165" w:name="_Toc61006878"/>
      <w:bookmarkStart w:id="166" w:name="_Toc358"/>
      <w:r>
        <w:rPr>
          <w:rFonts w:hint="eastAsia"/>
          <w:sz w:val="28"/>
          <w:highlight w:val="none"/>
        </w:rPr>
        <w:t>7、景观园林</w:t>
      </w:r>
      <w:bookmarkEnd w:id="165"/>
    </w:p>
    <w:p>
      <w:pPr>
        <w:adjustRightInd w:val="0"/>
        <w:snapToGrid w:val="0"/>
        <w:spacing w:line="360" w:lineRule="auto"/>
        <w:ind w:firstLine="560" w:firstLineChars="200"/>
        <w:jc w:val="left"/>
        <w:rPr>
          <w:sz w:val="28"/>
          <w:highlight w:val="none"/>
        </w:rPr>
      </w:pPr>
      <w:bookmarkStart w:id="167" w:name="_Toc61006879"/>
      <w:r>
        <w:rPr>
          <w:rFonts w:hint="eastAsia"/>
          <w:sz w:val="28"/>
          <w:highlight w:val="none"/>
        </w:rPr>
        <w:t>本项目将委托专业景观公司进行设计，方案设计单位提供景观方案深化设计的基础条件，包括相关的图纸和电子文件、招标设计的基本要求、对景观设计中的主题及小品等需明确要求，以尽可能保证环境设计延续并能提升建筑设计之主题。施工图设计单位应予以配合相关咨询及建议工作。</w:t>
      </w:r>
      <w:bookmarkEnd w:id="167"/>
    </w:p>
    <w:bookmarkEnd w:id="166"/>
    <w:p>
      <w:pPr>
        <w:adjustRightInd w:val="0"/>
        <w:snapToGrid w:val="0"/>
        <w:spacing w:line="360" w:lineRule="auto"/>
        <w:ind w:firstLine="560" w:firstLineChars="200"/>
        <w:jc w:val="left"/>
        <w:rPr>
          <w:sz w:val="28"/>
          <w:highlight w:val="none"/>
        </w:rPr>
      </w:pPr>
      <w:bookmarkStart w:id="168" w:name="_Toc61006880"/>
      <w:r>
        <w:rPr>
          <w:rFonts w:hint="eastAsia"/>
          <w:sz w:val="28"/>
          <w:highlight w:val="none"/>
        </w:rPr>
        <w:t>8、其它要求</w:t>
      </w:r>
      <w:bookmarkEnd w:id="168"/>
    </w:p>
    <w:p>
      <w:pPr>
        <w:adjustRightInd w:val="0"/>
        <w:snapToGrid w:val="0"/>
        <w:spacing w:line="360" w:lineRule="auto"/>
        <w:ind w:firstLine="560" w:firstLineChars="200"/>
        <w:jc w:val="left"/>
        <w:rPr>
          <w:sz w:val="28"/>
          <w:highlight w:val="none"/>
        </w:rPr>
      </w:pPr>
      <w:r>
        <w:rPr>
          <w:rFonts w:hint="eastAsia"/>
          <w:sz w:val="28"/>
          <w:highlight w:val="none"/>
        </w:rPr>
        <w:t>8.1 准确计算并列出主要技术经济指标（可列在总平面图上），在各层平面图中标注各层面积、不同业态各个商铺的建筑面积、使用面积一览表。此项工作须贯穿设计的全过程，设计方必须引起高度重视，随时完成发包人要求复核或计算面积指标工作（技术处理上可以将不同业态面积设为单独的</w:t>
      </w:r>
      <w:r>
        <w:rPr>
          <w:sz w:val="28"/>
          <w:highlight w:val="none"/>
        </w:rPr>
        <w:t>1</w:t>
      </w:r>
      <w:r>
        <w:rPr>
          <w:rFonts w:hint="eastAsia"/>
          <w:sz w:val="28"/>
          <w:highlight w:val="none"/>
        </w:rPr>
        <w:t>个图层，便于随时检查或计算各业态销售面积）。</w:t>
      </w:r>
    </w:p>
    <w:p>
      <w:pPr>
        <w:adjustRightInd w:val="0"/>
        <w:snapToGrid w:val="0"/>
        <w:spacing w:line="360" w:lineRule="auto"/>
        <w:ind w:firstLine="560" w:firstLineChars="200"/>
        <w:jc w:val="left"/>
        <w:rPr>
          <w:sz w:val="28"/>
          <w:highlight w:val="none"/>
        </w:rPr>
      </w:pPr>
      <w:r>
        <w:rPr>
          <w:rFonts w:hint="eastAsia"/>
          <w:sz w:val="28"/>
          <w:highlight w:val="none"/>
        </w:rPr>
        <w:t>8.2 在品牌未定时，电梯、扶梯、人行步道技术参数、土建预留洞口尺寸等，按发包人提供的电梯选型原则，确定各电梯参数并随时做好技术参数、数量的列表统计，配合发包人做好机电设备招标工作。</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169" w:name="_Toc212525151"/>
      <w:bookmarkStart w:id="170" w:name="_Toc61006881"/>
      <w:bookmarkStart w:id="171" w:name="_Toc61017642"/>
      <w:bookmarkStart w:id="172" w:name="_Toc212523920"/>
      <w:bookmarkStart w:id="173" w:name="_Toc342057095"/>
      <w:r>
        <w:rPr>
          <w:rFonts w:hint="eastAsia" w:asciiTheme="majorEastAsia" w:hAnsiTheme="majorEastAsia" w:eastAsiaTheme="majorEastAsia"/>
          <w:highlight w:val="none"/>
        </w:rPr>
        <w:t>二、设计管理</w:t>
      </w:r>
      <w:bookmarkEnd w:id="169"/>
      <w:bookmarkEnd w:id="170"/>
      <w:bookmarkEnd w:id="171"/>
      <w:bookmarkEnd w:id="172"/>
      <w:bookmarkEnd w:id="173"/>
    </w:p>
    <w:p>
      <w:pPr>
        <w:adjustRightInd w:val="0"/>
        <w:snapToGrid w:val="0"/>
        <w:spacing w:line="360" w:lineRule="auto"/>
        <w:ind w:firstLine="560" w:firstLineChars="200"/>
        <w:jc w:val="left"/>
        <w:rPr>
          <w:sz w:val="28"/>
          <w:highlight w:val="none"/>
        </w:rPr>
      </w:pPr>
      <w:r>
        <w:rPr>
          <w:rFonts w:hint="eastAsia"/>
          <w:sz w:val="28"/>
          <w:highlight w:val="none"/>
        </w:rPr>
        <w:t>根据合同中规定，对于设计过程中的重要问题，建筑师应先送至发包人审核后方可进行下一步设计，本任务书中要求在建筑扩初及施工图的以下阶段提交发包人设计初步成果作审核并依据审核意见作调整。具体提交时间（以图纸送达为准）按照我部与设计单位共同制定的工作计划进行：</w:t>
      </w:r>
    </w:p>
    <w:p>
      <w:pPr>
        <w:adjustRightInd w:val="0"/>
        <w:snapToGrid w:val="0"/>
        <w:spacing w:line="360" w:lineRule="auto"/>
        <w:ind w:firstLine="560" w:firstLineChars="200"/>
        <w:jc w:val="left"/>
        <w:rPr>
          <w:sz w:val="28"/>
          <w:highlight w:val="none"/>
        </w:rPr>
      </w:pPr>
      <w:bookmarkStart w:id="174" w:name="_Toc215549843"/>
      <w:bookmarkStart w:id="175" w:name="_Toc341862286"/>
      <w:bookmarkStart w:id="176" w:name="_Toc341861243"/>
      <w:bookmarkStart w:id="177" w:name="_Toc215550040"/>
      <w:bookmarkStart w:id="178" w:name="_Toc341861700"/>
      <w:bookmarkStart w:id="179" w:name="_Toc32651"/>
      <w:bookmarkStart w:id="180" w:name="_Toc61006882"/>
      <w:bookmarkStart w:id="181" w:name="_Toc342057096"/>
      <w:r>
        <w:rPr>
          <w:rFonts w:hint="eastAsia"/>
          <w:sz w:val="28"/>
          <w:highlight w:val="none"/>
        </w:rPr>
        <w:t>1、建筑总图、所有平面、立面、立面分色图（可后期提交）、剖面等。</w:t>
      </w:r>
      <w:bookmarkEnd w:id="174"/>
      <w:bookmarkEnd w:id="175"/>
      <w:bookmarkEnd w:id="176"/>
      <w:bookmarkEnd w:id="177"/>
      <w:bookmarkEnd w:id="178"/>
      <w:bookmarkEnd w:id="179"/>
      <w:bookmarkEnd w:id="180"/>
      <w:bookmarkEnd w:id="181"/>
    </w:p>
    <w:p>
      <w:pPr>
        <w:adjustRightInd w:val="0"/>
        <w:snapToGrid w:val="0"/>
        <w:spacing w:line="360" w:lineRule="auto"/>
        <w:ind w:firstLine="560" w:firstLineChars="200"/>
        <w:jc w:val="left"/>
        <w:rPr>
          <w:sz w:val="28"/>
          <w:highlight w:val="none"/>
        </w:rPr>
      </w:pPr>
      <w:bookmarkStart w:id="182" w:name="_Toc19344"/>
      <w:bookmarkStart w:id="183" w:name="_Toc61006883"/>
      <w:bookmarkStart w:id="184" w:name="_Toc215550041"/>
      <w:bookmarkStart w:id="185" w:name="_Toc342057097"/>
      <w:bookmarkStart w:id="186" w:name="_Toc215549844"/>
      <w:bookmarkStart w:id="187" w:name="_Toc341861244"/>
      <w:bookmarkStart w:id="188" w:name="_Toc341861701"/>
      <w:bookmarkStart w:id="189" w:name="_Toc341862287"/>
      <w:r>
        <w:rPr>
          <w:rFonts w:hint="eastAsia"/>
          <w:sz w:val="28"/>
          <w:highlight w:val="none"/>
        </w:rPr>
        <w:t>2、协助发包人提供各类选型样板的定样工作。</w:t>
      </w:r>
      <w:bookmarkEnd w:id="182"/>
      <w:bookmarkEnd w:id="183"/>
      <w:bookmarkEnd w:id="184"/>
      <w:bookmarkEnd w:id="185"/>
      <w:bookmarkEnd w:id="186"/>
      <w:bookmarkEnd w:id="187"/>
      <w:bookmarkEnd w:id="188"/>
      <w:bookmarkEnd w:id="189"/>
    </w:p>
    <w:p>
      <w:pPr>
        <w:adjustRightInd w:val="0"/>
        <w:snapToGrid w:val="0"/>
        <w:spacing w:line="360" w:lineRule="auto"/>
        <w:ind w:firstLine="560" w:firstLineChars="200"/>
        <w:jc w:val="left"/>
        <w:rPr>
          <w:sz w:val="28"/>
          <w:highlight w:val="none"/>
        </w:rPr>
      </w:pPr>
      <w:bookmarkStart w:id="190" w:name="_Toc341861702"/>
      <w:bookmarkStart w:id="191" w:name="_Toc341862288"/>
      <w:bookmarkStart w:id="192" w:name="_Toc61006884"/>
      <w:bookmarkStart w:id="193" w:name="_Toc215550043"/>
      <w:bookmarkStart w:id="194" w:name="_Toc342057098"/>
      <w:bookmarkStart w:id="195" w:name="_Toc6870"/>
      <w:bookmarkStart w:id="196" w:name="_Toc341861245"/>
      <w:bookmarkStart w:id="197" w:name="_Toc215549846"/>
      <w:r>
        <w:rPr>
          <w:rFonts w:hint="eastAsia"/>
          <w:sz w:val="28"/>
          <w:highlight w:val="none"/>
        </w:rPr>
        <w:t>3、大样图：各户型大样、卫生间大样；楼梯、电梯大样；墙身大样、门窗大样等。</w:t>
      </w:r>
      <w:bookmarkEnd w:id="190"/>
      <w:bookmarkEnd w:id="191"/>
      <w:bookmarkEnd w:id="192"/>
      <w:bookmarkEnd w:id="193"/>
      <w:bookmarkEnd w:id="194"/>
      <w:bookmarkEnd w:id="195"/>
      <w:bookmarkEnd w:id="196"/>
      <w:bookmarkEnd w:id="197"/>
    </w:p>
    <w:p>
      <w:pPr>
        <w:adjustRightInd w:val="0"/>
        <w:snapToGrid w:val="0"/>
        <w:spacing w:line="360" w:lineRule="auto"/>
        <w:ind w:firstLine="560" w:firstLineChars="200"/>
        <w:jc w:val="left"/>
        <w:rPr>
          <w:sz w:val="28"/>
          <w:highlight w:val="none"/>
        </w:rPr>
      </w:pPr>
      <w:bookmarkStart w:id="198" w:name="_Toc215549847"/>
      <w:bookmarkStart w:id="199" w:name="_Toc61006885"/>
      <w:bookmarkStart w:id="200" w:name="_Toc215550044"/>
      <w:bookmarkStart w:id="201" w:name="_Toc341862289"/>
      <w:bookmarkStart w:id="202" w:name="_Toc341861246"/>
      <w:bookmarkStart w:id="203" w:name="_Toc18678"/>
      <w:bookmarkStart w:id="204" w:name="_Toc341861703"/>
      <w:bookmarkStart w:id="205" w:name="_Toc342057099"/>
      <w:r>
        <w:rPr>
          <w:rFonts w:hint="eastAsia"/>
          <w:sz w:val="28"/>
          <w:highlight w:val="none"/>
        </w:rPr>
        <w:t>4、立面放大图：立面复杂位置放大图。</w:t>
      </w:r>
      <w:bookmarkEnd w:id="198"/>
      <w:bookmarkEnd w:id="199"/>
      <w:bookmarkEnd w:id="200"/>
      <w:bookmarkEnd w:id="201"/>
      <w:bookmarkEnd w:id="202"/>
      <w:bookmarkEnd w:id="203"/>
      <w:bookmarkEnd w:id="204"/>
      <w:bookmarkEnd w:id="205"/>
    </w:p>
    <w:p>
      <w:pPr>
        <w:adjustRightInd w:val="0"/>
        <w:snapToGrid w:val="0"/>
        <w:spacing w:line="360" w:lineRule="auto"/>
        <w:ind w:firstLine="560" w:firstLineChars="200"/>
        <w:jc w:val="left"/>
        <w:rPr>
          <w:sz w:val="28"/>
          <w:highlight w:val="none"/>
        </w:rPr>
      </w:pPr>
      <w:bookmarkStart w:id="206" w:name="_Toc341862290"/>
      <w:bookmarkStart w:id="207" w:name="_Toc2288"/>
      <w:bookmarkStart w:id="208" w:name="_Toc61006886"/>
      <w:bookmarkStart w:id="209" w:name="_Toc342057100"/>
      <w:bookmarkStart w:id="210" w:name="_Toc341861247"/>
      <w:bookmarkStart w:id="211" w:name="_Toc341861704"/>
      <w:bookmarkStart w:id="212" w:name="_Toc215550045"/>
      <w:bookmarkStart w:id="213" w:name="_Toc215549848"/>
      <w:r>
        <w:rPr>
          <w:rFonts w:hint="eastAsia"/>
          <w:sz w:val="28"/>
          <w:highlight w:val="none"/>
        </w:rPr>
        <w:t>5、请设计院根据双方共同制定的设计计划及以上审图内容，提交以上图纸，便于发包人作配合。</w:t>
      </w:r>
      <w:bookmarkEnd w:id="206"/>
      <w:bookmarkEnd w:id="207"/>
      <w:bookmarkEnd w:id="208"/>
      <w:bookmarkEnd w:id="209"/>
      <w:bookmarkEnd w:id="210"/>
      <w:bookmarkEnd w:id="211"/>
      <w:bookmarkEnd w:id="212"/>
      <w:bookmarkEnd w:id="213"/>
    </w:p>
    <w:bookmarkEnd w:id="139"/>
    <w:bookmarkEnd w:id="140"/>
    <w:p>
      <w:pPr>
        <w:pStyle w:val="4"/>
        <w:numPr>
          <w:ilvl w:val="0"/>
          <w:numId w:val="0"/>
        </w:numPr>
        <w:adjustRightInd w:val="0"/>
        <w:snapToGrid w:val="0"/>
        <w:spacing w:before="0" w:after="0" w:line="300" w:lineRule="auto"/>
        <w:jc w:val="center"/>
        <w:rPr>
          <w:rFonts w:asciiTheme="majorEastAsia" w:hAnsiTheme="majorEastAsia" w:eastAsiaTheme="majorEastAsia"/>
          <w:sz w:val="36"/>
          <w:szCs w:val="36"/>
          <w:highlight w:val="none"/>
        </w:rPr>
      </w:pPr>
      <w:bookmarkStart w:id="214" w:name="_Toc342057101"/>
      <w:bookmarkStart w:id="215" w:name="_Toc61006887"/>
      <w:bookmarkStart w:id="216" w:name="_Toc61017643"/>
      <w:r>
        <w:rPr>
          <w:rFonts w:hint="eastAsia" w:asciiTheme="majorEastAsia" w:hAnsiTheme="majorEastAsia" w:eastAsiaTheme="majorEastAsia"/>
          <w:sz w:val="36"/>
          <w:szCs w:val="36"/>
          <w:highlight w:val="none"/>
        </w:rPr>
        <w:t>第四部分结构专业</w:t>
      </w:r>
      <w:bookmarkEnd w:id="214"/>
      <w:bookmarkEnd w:id="215"/>
      <w:bookmarkEnd w:id="216"/>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17" w:name="_Toc61017644"/>
      <w:bookmarkStart w:id="218" w:name="_Toc212523922"/>
      <w:bookmarkStart w:id="219" w:name="_Toc342057102"/>
      <w:bookmarkStart w:id="220" w:name="_Toc212525153"/>
      <w:bookmarkStart w:id="221" w:name="_Toc61006888"/>
      <w:r>
        <w:rPr>
          <w:rFonts w:hint="eastAsia" w:asciiTheme="majorEastAsia" w:hAnsiTheme="majorEastAsia" w:eastAsiaTheme="majorEastAsia"/>
          <w:highlight w:val="none"/>
        </w:rPr>
        <w:t>一、结构专业设计任务书</w:t>
      </w:r>
      <w:bookmarkEnd w:id="217"/>
      <w:bookmarkEnd w:id="218"/>
      <w:bookmarkEnd w:id="219"/>
      <w:bookmarkEnd w:id="220"/>
      <w:bookmarkEnd w:id="221"/>
    </w:p>
    <w:p>
      <w:pPr>
        <w:adjustRightInd w:val="0"/>
        <w:snapToGrid w:val="0"/>
        <w:spacing w:line="360" w:lineRule="auto"/>
        <w:ind w:firstLine="560" w:firstLineChars="200"/>
        <w:jc w:val="left"/>
        <w:rPr>
          <w:sz w:val="28"/>
          <w:highlight w:val="none"/>
        </w:rPr>
      </w:pPr>
      <w:bookmarkStart w:id="222" w:name="_Toc61006889"/>
      <w:bookmarkStart w:id="223" w:name="_Toc6196"/>
      <w:bookmarkStart w:id="224" w:name="_Toc342057103"/>
      <w:r>
        <w:rPr>
          <w:rFonts w:hint="eastAsia"/>
          <w:sz w:val="28"/>
          <w:highlight w:val="none"/>
        </w:rPr>
        <w:t>1、结构设计的一般原则</w:t>
      </w:r>
      <w:bookmarkEnd w:id="222"/>
      <w:bookmarkEnd w:id="223"/>
      <w:bookmarkEnd w:id="224"/>
    </w:p>
    <w:p>
      <w:pPr>
        <w:adjustRightInd w:val="0"/>
        <w:snapToGrid w:val="0"/>
        <w:spacing w:line="360" w:lineRule="auto"/>
        <w:ind w:firstLine="560" w:firstLineChars="200"/>
        <w:jc w:val="left"/>
        <w:rPr>
          <w:sz w:val="28"/>
          <w:highlight w:val="none"/>
        </w:rPr>
      </w:pPr>
      <w:r>
        <w:rPr>
          <w:rFonts w:hint="eastAsia"/>
          <w:sz w:val="28"/>
          <w:highlight w:val="none"/>
        </w:rPr>
        <w:t>1.1 结构选型要求：根据方案设计单位提供的方案复核桩基及转换柱预留荷载情况，若荷载足够，采用钢筋砼剪力墙结构；若荷载不足，采用钢结构体系中的框架-支撑结构。</w:t>
      </w:r>
    </w:p>
    <w:p>
      <w:pPr>
        <w:adjustRightInd w:val="0"/>
        <w:snapToGrid w:val="0"/>
        <w:spacing w:line="360" w:lineRule="auto"/>
        <w:ind w:firstLine="560" w:firstLineChars="200"/>
        <w:jc w:val="left"/>
        <w:rPr>
          <w:sz w:val="28"/>
          <w:highlight w:val="none"/>
        </w:rPr>
      </w:pPr>
      <w:r>
        <w:rPr>
          <w:rFonts w:hint="eastAsia"/>
          <w:sz w:val="28"/>
          <w:highlight w:val="none"/>
        </w:rPr>
        <w:t>1.2 结构设计应符合各类现行国家规范要求，同时体现如下原则：</w:t>
      </w:r>
      <w:r>
        <w:rPr>
          <w:sz w:val="28"/>
          <w:highlight w:val="none"/>
        </w:rPr>
        <w:t xml:space="preserve"> </w:t>
      </w:r>
    </w:p>
    <w:p>
      <w:pPr>
        <w:adjustRightInd w:val="0"/>
        <w:snapToGrid w:val="0"/>
        <w:spacing w:line="360" w:lineRule="auto"/>
        <w:ind w:firstLine="560" w:firstLineChars="200"/>
        <w:jc w:val="left"/>
        <w:rPr>
          <w:sz w:val="28"/>
          <w:highlight w:val="none"/>
        </w:rPr>
      </w:pPr>
      <w:r>
        <w:rPr>
          <w:rFonts w:hint="eastAsia"/>
          <w:sz w:val="28"/>
          <w:highlight w:val="none"/>
        </w:rPr>
        <w:t>1.2.1 钢结构办公设计宜发挥下列优势。</w:t>
      </w:r>
    </w:p>
    <w:p>
      <w:pPr>
        <w:adjustRightInd w:val="0"/>
        <w:snapToGrid w:val="0"/>
        <w:spacing w:line="360" w:lineRule="auto"/>
        <w:ind w:firstLine="560" w:firstLineChars="200"/>
        <w:jc w:val="left"/>
        <w:rPr>
          <w:sz w:val="28"/>
          <w:highlight w:val="none"/>
        </w:rPr>
      </w:pPr>
      <w:r>
        <w:rPr>
          <w:rFonts w:hint="eastAsia"/>
          <w:sz w:val="28"/>
          <w:highlight w:val="none"/>
        </w:rPr>
        <w:t>（1）套型结构可适应套型改变；</w:t>
      </w:r>
    </w:p>
    <w:p>
      <w:pPr>
        <w:adjustRightInd w:val="0"/>
        <w:snapToGrid w:val="0"/>
        <w:spacing w:line="360" w:lineRule="auto"/>
        <w:ind w:firstLine="560" w:firstLineChars="200"/>
        <w:jc w:val="left"/>
        <w:rPr>
          <w:sz w:val="28"/>
          <w:highlight w:val="none"/>
        </w:rPr>
      </w:pPr>
      <w:r>
        <w:rPr>
          <w:rFonts w:hint="eastAsia"/>
          <w:sz w:val="28"/>
          <w:highlight w:val="none"/>
        </w:rPr>
        <w:t>（2）非承重部件可更换；</w:t>
      </w:r>
    </w:p>
    <w:p>
      <w:pPr>
        <w:adjustRightInd w:val="0"/>
        <w:snapToGrid w:val="0"/>
        <w:spacing w:line="360" w:lineRule="auto"/>
        <w:ind w:firstLine="560" w:firstLineChars="200"/>
        <w:jc w:val="left"/>
        <w:rPr>
          <w:sz w:val="28"/>
          <w:highlight w:val="none"/>
        </w:rPr>
      </w:pPr>
      <w:r>
        <w:rPr>
          <w:rFonts w:hint="eastAsia"/>
          <w:sz w:val="28"/>
          <w:highlight w:val="none"/>
        </w:rPr>
        <w:t>（3）材料可回收利用。</w:t>
      </w:r>
    </w:p>
    <w:p>
      <w:pPr>
        <w:adjustRightInd w:val="0"/>
        <w:snapToGrid w:val="0"/>
        <w:spacing w:line="360" w:lineRule="auto"/>
        <w:ind w:firstLine="560" w:firstLineChars="200"/>
        <w:jc w:val="left"/>
        <w:rPr>
          <w:sz w:val="28"/>
          <w:highlight w:val="none"/>
        </w:rPr>
      </w:pPr>
      <w:r>
        <w:rPr>
          <w:rFonts w:hint="eastAsia"/>
          <w:sz w:val="28"/>
          <w:highlight w:val="none"/>
        </w:rPr>
        <w:t>1.2.2 钢结构办公设计应满足下列耐久性要求。</w:t>
      </w:r>
    </w:p>
    <w:p>
      <w:pPr>
        <w:adjustRightInd w:val="0"/>
        <w:snapToGrid w:val="0"/>
        <w:spacing w:line="360" w:lineRule="auto"/>
        <w:ind w:firstLine="560" w:firstLineChars="200"/>
        <w:jc w:val="left"/>
        <w:rPr>
          <w:sz w:val="28"/>
          <w:highlight w:val="none"/>
        </w:rPr>
      </w:pPr>
      <w:r>
        <w:rPr>
          <w:rFonts w:hint="eastAsia"/>
          <w:sz w:val="28"/>
          <w:highlight w:val="none"/>
        </w:rPr>
        <w:t>（1）设计使用年限，应符合现行国家标准《民用建筑设计通则》GB50352的规定，一般居住建筑为50年；</w:t>
      </w:r>
    </w:p>
    <w:p>
      <w:pPr>
        <w:adjustRightInd w:val="0"/>
        <w:snapToGrid w:val="0"/>
        <w:spacing w:line="360" w:lineRule="auto"/>
        <w:ind w:firstLine="560" w:firstLineChars="200"/>
        <w:jc w:val="left"/>
        <w:rPr>
          <w:sz w:val="28"/>
          <w:highlight w:val="none"/>
        </w:rPr>
      </w:pPr>
      <w:r>
        <w:rPr>
          <w:rFonts w:hint="eastAsia"/>
          <w:sz w:val="28"/>
          <w:highlight w:val="none"/>
        </w:rPr>
        <w:t>（2）承重结构，在规定的设计使用年限内，其相应安全等级的可靠度应符合现行国家标准《建筑结构可靠度设计统一标准》GB50068的规定；</w:t>
      </w:r>
    </w:p>
    <w:p>
      <w:pPr>
        <w:adjustRightInd w:val="0"/>
        <w:snapToGrid w:val="0"/>
        <w:spacing w:line="360" w:lineRule="auto"/>
        <w:ind w:firstLine="560" w:firstLineChars="200"/>
        <w:jc w:val="left"/>
        <w:rPr>
          <w:sz w:val="28"/>
          <w:highlight w:val="none"/>
        </w:rPr>
      </w:pPr>
      <w:r>
        <w:rPr>
          <w:rFonts w:hint="eastAsia"/>
          <w:sz w:val="28"/>
          <w:highlight w:val="none"/>
        </w:rPr>
        <w:t>（3）办公中的钢结构，应按其使用环境，采限可靠的防火、防腐蚀措施，确保设计使用年限；</w:t>
      </w:r>
    </w:p>
    <w:p>
      <w:pPr>
        <w:adjustRightInd w:val="0"/>
        <w:snapToGrid w:val="0"/>
        <w:spacing w:line="360" w:lineRule="auto"/>
        <w:ind w:firstLine="560" w:firstLineChars="200"/>
        <w:jc w:val="left"/>
        <w:rPr>
          <w:sz w:val="28"/>
          <w:highlight w:val="none"/>
        </w:rPr>
      </w:pPr>
      <w:r>
        <w:rPr>
          <w:rFonts w:hint="eastAsia"/>
          <w:sz w:val="28"/>
          <w:highlight w:val="none"/>
        </w:rPr>
        <w:t>（4）可更换的非承重部件，需要设计文件中规定其耐用指标。其中独立的非承重结构部件，设计使用年限不应少于25年；</w:t>
      </w:r>
    </w:p>
    <w:p>
      <w:pPr>
        <w:adjustRightInd w:val="0"/>
        <w:snapToGrid w:val="0"/>
        <w:spacing w:line="360" w:lineRule="auto"/>
        <w:ind w:firstLine="560" w:firstLineChars="200"/>
        <w:jc w:val="left"/>
        <w:rPr>
          <w:sz w:val="28"/>
          <w:highlight w:val="none"/>
        </w:rPr>
      </w:pPr>
      <w:r>
        <w:rPr>
          <w:rFonts w:hint="eastAsia"/>
          <w:sz w:val="28"/>
          <w:highlight w:val="none"/>
        </w:rPr>
        <w:t>（5）可维修部位，应在设计文件中规定维修周期和使用年限。</w:t>
      </w:r>
    </w:p>
    <w:p>
      <w:pPr>
        <w:adjustRightInd w:val="0"/>
        <w:snapToGrid w:val="0"/>
        <w:spacing w:line="360" w:lineRule="auto"/>
        <w:ind w:firstLine="560" w:firstLineChars="200"/>
        <w:jc w:val="left"/>
        <w:rPr>
          <w:sz w:val="28"/>
          <w:highlight w:val="none"/>
        </w:rPr>
      </w:pPr>
      <w:r>
        <w:rPr>
          <w:rFonts w:hint="eastAsia"/>
          <w:sz w:val="28"/>
          <w:highlight w:val="none"/>
        </w:rPr>
        <w:t>（6）办公4.5米层高部分结构荷载考虑双钥匙结构重量。</w:t>
      </w:r>
    </w:p>
    <w:p>
      <w:pPr>
        <w:adjustRightInd w:val="0"/>
        <w:snapToGrid w:val="0"/>
        <w:spacing w:line="360" w:lineRule="auto"/>
        <w:ind w:firstLine="560" w:firstLineChars="200"/>
        <w:jc w:val="left"/>
        <w:rPr>
          <w:sz w:val="28"/>
          <w:highlight w:val="none"/>
        </w:rPr>
      </w:pPr>
      <w:r>
        <w:rPr>
          <w:rFonts w:hint="eastAsia"/>
          <w:sz w:val="28"/>
          <w:highlight w:val="none"/>
        </w:rPr>
        <w:t>1.2.3 钢结构办公设计装修一次到位，并满足下列要求。</w:t>
      </w:r>
    </w:p>
    <w:p>
      <w:pPr>
        <w:adjustRightInd w:val="0"/>
        <w:snapToGrid w:val="0"/>
        <w:spacing w:line="360" w:lineRule="auto"/>
        <w:ind w:firstLine="560" w:firstLineChars="200"/>
        <w:jc w:val="left"/>
        <w:rPr>
          <w:sz w:val="28"/>
          <w:highlight w:val="none"/>
        </w:rPr>
      </w:pPr>
      <w:r>
        <w:rPr>
          <w:rFonts w:hint="eastAsia"/>
          <w:sz w:val="28"/>
          <w:highlight w:val="none"/>
        </w:rPr>
        <w:t>（1）设计考虑内部装修设计，并达到必要的深度；</w:t>
      </w:r>
    </w:p>
    <w:p>
      <w:pPr>
        <w:adjustRightInd w:val="0"/>
        <w:snapToGrid w:val="0"/>
        <w:spacing w:line="360" w:lineRule="auto"/>
        <w:ind w:firstLine="560" w:firstLineChars="200"/>
        <w:jc w:val="left"/>
        <w:rPr>
          <w:sz w:val="28"/>
          <w:highlight w:val="none"/>
        </w:rPr>
      </w:pPr>
      <w:r>
        <w:rPr>
          <w:rFonts w:hint="eastAsia"/>
          <w:sz w:val="28"/>
          <w:highlight w:val="none"/>
        </w:rPr>
        <w:t>（2）推行装修设计标准化、装修部件预制化和装修施工装配化；</w:t>
      </w:r>
    </w:p>
    <w:p>
      <w:pPr>
        <w:adjustRightInd w:val="0"/>
        <w:snapToGrid w:val="0"/>
        <w:spacing w:line="360" w:lineRule="auto"/>
        <w:ind w:firstLine="560" w:firstLineChars="200"/>
        <w:jc w:val="left"/>
        <w:rPr>
          <w:sz w:val="28"/>
          <w:highlight w:val="none"/>
        </w:rPr>
      </w:pPr>
      <w:r>
        <w:rPr>
          <w:rFonts w:hint="eastAsia"/>
          <w:sz w:val="28"/>
          <w:highlight w:val="none"/>
        </w:rPr>
        <w:t>（3）当采用装修菜单设计时，各式设计荷载应控制在预留范围内；</w:t>
      </w:r>
    </w:p>
    <w:p>
      <w:pPr>
        <w:adjustRightInd w:val="0"/>
        <w:snapToGrid w:val="0"/>
        <w:spacing w:line="360" w:lineRule="auto"/>
        <w:ind w:firstLine="560" w:firstLineChars="200"/>
        <w:jc w:val="left"/>
        <w:rPr>
          <w:sz w:val="28"/>
          <w:highlight w:val="none"/>
        </w:rPr>
      </w:pPr>
      <w:r>
        <w:rPr>
          <w:rFonts w:hint="eastAsia"/>
          <w:sz w:val="28"/>
          <w:highlight w:val="none"/>
        </w:rPr>
        <w:t>（4）部件接口采用统一的基准面进行协调；</w:t>
      </w:r>
    </w:p>
    <w:p>
      <w:pPr>
        <w:adjustRightInd w:val="0"/>
        <w:snapToGrid w:val="0"/>
        <w:spacing w:line="360" w:lineRule="auto"/>
        <w:ind w:firstLine="560" w:firstLineChars="200"/>
        <w:jc w:val="left"/>
        <w:rPr>
          <w:sz w:val="28"/>
          <w:highlight w:val="none"/>
        </w:rPr>
      </w:pPr>
      <w:r>
        <w:rPr>
          <w:rFonts w:hint="eastAsia"/>
          <w:sz w:val="28"/>
          <w:highlight w:val="none"/>
        </w:rPr>
        <w:t>（5）对可能由用户自装的部件和设备，预见性地提供安装条件；</w:t>
      </w:r>
    </w:p>
    <w:p>
      <w:pPr>
        <w:adjustRightInd w:val="0"/>
        <w:snapToGrid w:val="0"/>
        <w:spacing w:line="360" w:lineRule="auto"/>
        <w:ind w:firstLine="560" w:firstLineChars="200"/>
        <w:jc w:val="left"/>
        <w:rPr>
          <w:sz w:val="28"/>
          <w:highlight w:val="none"/>
        </w:rPr>
      </w:pPr>
      <w:r>
        <w:rPr>
          <w:rFonts w:hint="eastAsia"/>
          <w:sz w:val="28"/>
          <w:highlight w:val="none"/>
        </w:rPr>
        <w:t>（6）预制部件除满足产品标准外，尚应满足现行国家标准《建筑内部装修设计防火规范》GB50222、《住宅建筑规范》GB50368和《民用建筑工程室内污染控制规范》GB50325的有关规定。</w:t>
      </w:r>
    </w:p>
    <w:p>
      <w:pPr>
        <w:adjustRightInd w:val="0"/>
        <w:snapToGrid w:val="0"/>
        <w:spacing w:line="360" w:lineRule="auto"/>
        <w:ind w:firstLine="560" w:firstLineChars="200"/>
        <w:jc w:val="left"/>
        <w:rPr>
          <w:sz w:val="28"/>
          <w:highlight w:val="none"/>
        </w:rPr>
      </w:pPr>
      <w:r>
        <w:rPr>
          <w:rFonts w:hint="eastAsia"/>
          <w:sz w:val="28"/>
          <w:highlight w:val="none"/>
        </w:rPr>
        <w:t>1.2.4 钢结构办公的防灾设计应按国家有关规范、规程执行，包括：抗震、防火、抗风、抗洪和防雷击等。</w:t>
      </w:r>
    </w:p>
    <w:p>
      <w:pPr>
        <w:adjustRightInd w:val="0"/>
        <w:snapToGrid w:val="0"/>
        <w:spacing w:line="360" w:lineRule="auto"/>
        <w:ind w:firstLine="560" w:firstLineChars="200"/>
        <w:jc w:val="left"/>
        <w:rPr>
          <w:sz w:val="28"/>
          <w:highlight w:val="none"/>
        </w:rPr>
      </w:pPr>
      <w:r>
        <w:rPr>
          <w:rFonts w:hint="eastAsia"/>
          <w:sz w:val="28"/>
          <w:highlight w:val="none"/>
        </w:rPr>
        <w:t>1.2.5 设计文件除了执行建设部“建筑工程设计文件编制深度的规定（现行版）”要求外，应同时要满足发包人关于结构专业的相关要求。</w:t>
      </w:r>
    </w:p>
    <w:p>
      <w:pPr>
        <w:adjustRightInd w:val="0"/>
        <w:snapToGrid w:val="0"/>
        <w:spacing w:line="360" w:lineRule="auto"/>
        <w:ind w:firstLine="560" w:firstLineChars="200"/>
        <w:jc w:val="left"/>
        <w:rPr>
          <w:sz w:val="28"/>
          <w:highlight w:val="none"/>
        </w:rPr>
      </w:pPr>
      <w:r>
        <w:rPr>
          <w:rFonts w:hint="eastAsia"/>
          <w:sz w:val="28"/>
          <w:highlight w:val="none"/>
        </w:rPr>
        <w:t>1.2.6 当需要进行钢结构住宅的性能评定时，应按现行国家标准《住宅性能评定技术标准》GB/T50362并结合工程项目的具体情况进行评定。</w:t>
      </w:r>
    </w:p>
    <w:p>
      <w:pPr>
        <w:adjustRightInd w:val="0"/>
        <w:snapToGrid w:val="0"/>
        <w:spacing w:line="360" w:lineRule="auto"/>
        <w:ind w:firstLine="560" w:firstLineChars="200"/>
        <w:jc w:val="left"/>
        <w:rPr>
          <w:sz w:val="28"/>
          <w:highlight w:val="none"/>
        </w:rPr>
      </w:pPr>
      <w:r>
        <w:rPr>
          <w:rFonts w:hint="eastAsia"/>
          <w:sz w:val="28"/>
          <w:highlight w:val="none"/>
        </w:rPr>
        <w:t>1.3 应采取相应的构造措施，减少变形缝的数量，同时还需要兼顾结构设计经济性原则。确需设置伸缩缝或抗震缝时，应满足伸缩、抗震与沉降的功能要求。</w:t>
      </w:r>
    </w:p>
    <w:p>
      <w:pPr>
        <w:adjustRightInd w:val="0"/>
        <w:snapToGrid w:val="0"/>
        <w:spacing w:line="360" w:lineRule="auto"/>
        <w:ind w:firstLine="560" w:firstLineChars="200"/>
        <w:jc w:val="left"/>
        <w:rPr>
          <w:sz w:val="28"/>
          <w:highlight w:val="none"/>
        </w:rPr>
      </w:pPr>
      <w:r>
        <w:rPr>
          <w:rFonts w:hint="eastAsia"/>
          <w:sz w:val="28"/>
          <w:highlight w:val="none"/>
        </w:rPr>
        <w:t>1.4 减少施工的复杂性：由于项目开发周期短，在结构设计时必须考虑的减少施工的复杂性，缩短施工周期的问题。</w:t>
      </w:r>
    </w:p>
    <w:p>
      <w:pPr>
        <w:adjustRightInd w:val="0"/>
        <w:snapToGrid w:val="0"/>
        <w:spacing w:line="360" w:lineRule="auto"/>
        <w:ind w:firstLine="560" w:firstLineChars="200"/>
        <w:jc w:val="left"/>
        <w:rPr>
          <w:sz w:val="28"/>
          <w:highlight w:val="none"/>
        </w:rPr>
      </w:pPr>
      <w:r>
        <w:rPr>
          <w:rFonts w:hint="eastAsia"/>
          <w:sz w:val="28"/>
          <w:highlight w:val="none"/>
        </w:rPr>
        <w:t>1.5 模数协调</w:t>
      </w:r>
    </w:p>
    <w:p>
      <w:pPr>
        <w:adjustRightInd w:val="0"/>
        <w:snapToGrid w:val="0"/>
        <w:spacing w:line="360" w:lineRule="auto"/>
        <w:ind w:firstLine="560" w:firstLineChars="200"/>
        <w:jc w:val="left"/>
        <w:rPr>
          <w:sz w:val="28"/>
          <w:highlight w:val="none"/>
        </w:rPr>
      </w:pPr>
      <w:r>
        <w:rPr>
          <w:rFonts w:hint="eastAsia"/>
          <w:sz w:val="28"/>
          <w:highlight w:val="none"/>
        </w:rPr>
        <w:t>钢结构办公设计中的模数协调应符合现行国家标准《建筑模数协调统一标准》GBJ2和《住宅建筑模数协调标准》GB/T50100的规定。</w:t>
      </w:r>
    </w:p>
    <w:p>
      <w:pPr>
        <w:adjustRightInd w:val="0"/>
        <w:snapToGrid w:val="0"/>
        <w:spacing w:line="360" w:lineRule="auto"/>
        <w:ind w:firstLine="560" w:firstLineChars="200"/>
        <w:jc w:val="left"/>
        <w:rPr>
          <w:sz w:val="28"/>
          <w:highlight w:val="none"/>
        </w:rPr>
      </w:pPr>
      <w:r>
        <w:rPr>
          <w:rFonts w:hint="eastAsia"/>
          <w:sz w:val="28"/>
          <w:highlight w:val="none"/>
        </w:rPr>
        <w:t>1.6 平面设计</w:t>
      </w:r>
    </w:p>
    <w:p>
      <w:pPr>
        <w:adjustRightInd w:val="0"/>
        <w:snapToGrid w:val="0"/>
        <w:spacing w:line="360" w:lineRule="auto"/>
        <w:ind w:firstLine="560" w:firstLineChars="200"/>
        <w:jc w:val="left"/>
        <w:rPr>
          <w:sz w:val="28"/>
          <w:highlight w:val="none"/>
        </w:rPr>
      </w:pPr>
      <w:r>
        <w:rPr>
          <w:rFonts w:hint="eastAsia"/>
          <w:sz w:val="28"/>
          <w:highlight w:val="none"/>
        </w:rPr>
        <w:t>宜根据下列条件进行套型设计并选择结构体系</w:t>
      </w:r>
    </w:p>
    <w:p>
      <w:pPr>
        <w:adjustRightInd w:val="0"/>
        <w:snapToGrid w:val="0"/>
        <w:spacing w:line="360" w:lineRule="auto"/>
        <w:ind w:firstLine="560" w:firstLineChars="200"/>
        <w:jc w:val="left"/>
        <w:rPr>
          <w:sz w:val="28"/>
          <w:highlight w:val="none"/>
        </w:rPr>
      </w:pPr>
      <w:r>
        <w:rPr>
          <w:rFonts w:hint="eastAsia"/>
          <w:sz w:val="28"/>
          <w:highlight w:val="none"/>
        </w:rPr>
        <w:t>（1）套型设计与结构体系的一致性；</w:t>
      </w:r>
    </w:p>
    <w:p>
      <w:pPr>
        <w:adjustRightInd w:val="0"/>
        <w:snapToGrid w:val="0"/>
        <w:spacing w:line="360" w:lineRule="auto"/>
        <w:ind w:firstLine="560" w:firstLineChars="200"/>
        <w:jc w:val="left"/>
        <w:rPr>
          <w:sz w:val="28"/>
          <w:highlight w:val="none"/>
        </w:rPr>
      </w:pPr>
      <w:r>
        <w:rPr>
          <w:rFonts w:hint="eastAsia"/>
          <w:sz w:val="28"/>
          <w:highlight w:val="none"/>
        </w:rPr>
        <w:t>（2）标准化和多样化的要求；</w:t>
      </w:r>
    </w:p>
    <w:p>
      <w:pPr>
        <w:adjustRightInd w:val="0"/>
        <w:snapToGrid w:val="0"/>
        <w:spacing w:line="360" w:lineRule="auto"/>
        <w:ind w:firstLine="560" w:firstLineChars="200"/>
        <w:jc w:val="left"/>
        <w:rPr>
          <w:sz w:val="28"/>
          <w:highlight w:val="none"/>
        </w:rPr>
      </w:pPr>
      <w:r>
        <w:rPr>
          <w:rFonts w:hint="eastAsia"/>
          <w:sz w:val="28"/>
          <w:highlight w:val="none"/>
        </w:rPr>
        <w:t>（3）抗风、抗震等承重使用要求；</w:t>
      </w:r>
    </w:p>
    <w:p>
      <w:pPr>
        <w:adjustRightInd w:val="0"/>
        <w:snapToGrid w:val="0"/>
        <w:spacing w:line="360" w:lineRule="auto"/>
        <w:ind w:firstLine="560" w:firstLineChars="200"/>
        <w:jc w:val="left"/>
        <w:rPr>
          <w:sz w:val="28"/>
          <w:highlight w:val="none"/>
        </w:rPr>
      </w:pPr>
      <w:r>
        <w:rPr>
          <w:rFonts w:hint="eastAsia"/>
          <w:sz w:val="28"/>
          <w:highlight w:val="none"/>
        </w:rPr>
        <w:t>（4）钢构件供应、加工、运输及安装条件；</w:t>
      </w:r>
    </w:p>
    <w:p>
      <w:pPr>
        <w:adjustRightInd w:val="0"/>
        <w:snapToGrid w:val="0"/>
        <w:spacing w:line="360" w:lineRule="auto"/>
        <w:ind w:firstLine="560" w:firstLineChars="200"/>
        <w:jc w:val="left"/>
        <w:rPr>
          <w:sz w:val="28"/>
          <w:highlight w:val="none"/>
        </w:rPr>
      </w:pPr>
      <w:r>
        <w:rPr>
          <w:rFonts w:hint="eastAsia"/>
          <w:sz w:val="28"/>
          <w:highlight w:val="none"/>
        </w:rPr>
        <w:t>（5）现行国家标准及本规范中关于结构体系适用范围的规定。</w:t>
      </w:r>
    </w:p>
    <w:p>
      <w:pPr>
        <w:adjustRightInd w:val="0"/>
        <w:snapToGrid w:val="0"/>
        <w:spacing w:line="360" w:lineRule="auto"/>
        <w:ind w:firstLine="560" w:firstLineChars="200"/>
        <w:jc w:val="left"/>
        <w:rPr>
          <w:sz w:val="28"/>
          <w:highlight w:val="none"/>
        </w:rPr>
      </w:pPr>
      <w:r>
        <w:rPr>
          <w:rFonts w:hint="eastAsia"/>
          <w:sz w:val="28"/>
          <w:highlight w:val="none"/>
        </w:rPr>
        <w:t>1.7 竖向设计</w:t>
      </w:r>
    </w:p>
    <w:p>
      <w:pPr>
        <w:adjustRightInd w:val="0"/>
        <w:snapToGrid w:val="0"/>
        <w:spacing w:line="360" w:lineRule="auto"/>
        <w:ind w:firstLine="560" w:firstLineChars="200"/>
        <w:jc w:val="left"/>
        <w:rPr>
          <w:sz w:val="28"/>
          <w:highlight w:val="none"/>
        </w:rPr>
      </w:pPr>
      <w:r>
        <w:rPr>
          <w:rFonts w:hint="eastAsia"/>
          <w:sz w:val="28"/>
          <w:highlight w:val="none"/>
        </w:rPr>
        <w:t>卫生间的楼板标高宜降低，以便设置防水层、找坡或管道层（同层排水时）。</w:t>
      </w:r>
    </w:p>
    <w:p>
      <w:pPr>
        <w:adjustRightInd w:val="0"/>
        <w:snapToGrid w:val="0"/>
        <w:spacing w:line="360" w:lineRule="auto"/>
        <w:ind w:firstLine="560" w:firstLineChars="200"/>
        <w:jc w:val="left"/>
        <w:rPr>
          <w:sz w:val="28"/>
          <w:highlight w:val="none"/>
        </w:rPr>
      </w:pPr>
      <w:r>
        <w:rPr>
          <w:rFonts w:hint="eastAsia"/>
          <w:sz w:val="28"/>
          <w:highlight w:val="none"/>
        </w:rPr>
        <w:t>1.8 设备</w:t>
      </w:r>
    </w:p>
    <w:p>
      <w:pPr>
        <w:adjustRightInd w:val="0"/>
        <w:snapToGrid w:val="0"/>
        <w:spacing w:line="360" w:lineRule="auto"/>
        <w:ind w:firstLine="560" w:firstLineChars="200"/>
        <w:jc w:val="left"/>
        <w:rPr>
          <w:sz w:val="28"/>
          <w:highlight w:val="none"/>
        </w:rPr>
      </w:pPr>
      <w:r>
        <w:rPr>
          <w:rFonts w:hint="eastAsia"/>
          <w:sz w:val="28"/>
          <w:highlight w:val="none"/>
        </w:rPr>
        <w:t>（1）钢结构住宅配电系统应利用钢结构进行总等电位连接；</w:t>
      </w:r>
    </w:p>
    <w:p>
      <w:pPr>
        <w:adjustRightInd w:val="0"/>
        <w:snapToGrid w:val="0"/>
        <w:spacing w:line="360" w:lineRule="auto"/>
        <w:ind w:firstLine="560" w:firstLineChars="200"/>
        <w:jc w:val="left"/>
        <w:rPr>
          <w:sz w:val="28"/>
          <w:highlight w:val="none"/>
        </w:rPr>
      </w:pPr>
      <w:r>
        <w:rPr>
          <w:rFonts w:hint="eastAsia"/>
          <w:sz w:val="28"/>
          <w:highlight w:val="none"/>
        </w:rPr>
        <w:t>（2）防雷接地应与交流工作接地、安全保护接地等共用钢结构作为自然接地体，此时应按一定布置将钢柱柱角与基础主筋连系焊接，达不到接地电阻时应从钢柱另引出接地极。</w:t>
      </w:r>
    </w:p>
    <w:p>
      <w:pPr>
        <w:adjustRightInd w:val="0"/>
        <w:snapToGrid w:val="0"/>
        <w:spacing w:line="360" w:lineRule="auto"/>
        <w:ind w:firstLine="560" w:firstLineChars="200"/>
        <w:jc w:val="left"/>
        <w:rPr>
          <w:sz w:val="28"/>
          <w:highlight w:val="none"/>
        </w:rPr>
      </w:pPr>
      <w:r>
        <w:rPr>
          <w:rFonts w:hint="eastAsia"/>
          <w:sz w:val="28"/>
          <w:highlight w:val="none"/>
        </w:rPr>
        <w:t>1.9 对施工图设计文件的要求：</w:t>
      </w:r>
    </w:p>
    <w:p>
      <w:pPr>
        <w:adjustRightInd w:val="0"/>
        <w:snapToGrid w:val="0"/>
        <w:spacing w:line="360" w:lineRule="auto"/>
        <w:ind w:firstLine="560" w:firstLineChars="200"/>
        <w:jc w:val="left"/>
        <w:rPr>
          <w:sz w:val="28"/>
          <w:highlight w:val="none"/>
        </w:rPr>
      </w:pPr>
      <w:r>
        <w:rPr>
          <w:rFonts w:hint="eastAsia"/>
          <w:sz w:val="28"/>
          <w:highlight w:val="none"/>
        </w:rPr>
        <w:t>1.9.1 结构施工图设计说明完整清楚，基础平面图、基础详图、结构平面布置图、结构构件详图、节点构造详图、楼梯结构图、预埋件详图等表达清晰，内容齐全，方便施工。</w:t>
      </w:r>
    </w:p>
    <w:p>
      <w:pPr>
        <w:adjustRightInd w:val="0"/>
        <w:snapToGrid w:val="0"/>
        <w:spacing w:line="360" w:lineRule="auto"/>
        <w:ind w:firstLine="560" w:firstLineChars="200"/>
        <w:jc w:val="left"/>
        <w:rPr>
          <w:sz w:val="28"/>
          <w:highlight w:val="none"/>
        </w:rPr>
      </w:pPr>
      <w:r>
        <w:rPr>
          <w:rFonts w:hint="eastAsia"/>
          <w:sz w:val="28"/>
          <w:highlight w:val="none"/>
        </w:rPr>
        <w:t>1.9.2 结构计算除进行强度计算外，应进行挠度及裂缝宽度的验算。</w:t>
      </w:r>
    </w:p>
    <w:p>
      <w:pPr>
        <w:adjustRightInd w:val="0"/>
        <w:snapToGrid w:val="0"/>
        <w:spacing w:line="360" w:lineRule="auto"/>
        <w:ind w:firstLine="560" w:firstLineChars="200"/>
        <w:jc w:val="left"/>
        <w:rPr>
          <w:sz w:val="28"/>
          <w:highlight w:val="none"/>
        </w:rPr>
      </w:pPr>
      <w:r>
        <w:rPr>
          <w:rFonts w:hint="eastAsia"/>
          <w:sz w:val="28"/>
          <w:highlight w:val="none"/>
        </w:rPr>
        <w:t>1.10 对整个工程应提出统一的结构设计构造措施及统一做法，并经发包人确认后实施。</w:t>
      </w:r>
    </w:p>
    <w:p>
      <w:pPr>
        <w:adjustRightInd w:val="0"/>
        <w:snapToGrid w:val="0"/>
        <w:spacing w:line="360" w:lineRule="auto"/>
        <w:ind w:firstLine="560" w:firstLineChars="200"/>
        <w:jc w:val="left"/>
        <w:rPr>
          <w:sz w:val="28"/>
          <w:highlight w:val="none"/>
        </w:rPr>
      </w:pPr>
      <w:r>
        <w:rPr>
          <w:rFonts w:hint="eastAsia"/>
          <w:sz w:val="28"/>
          <w:highlight w:val="none"/>
        </w:rPr>
        <w:t>1.11 为避免和防止工程出现安全和造价增加过大，设计采用标准图、通用图时，必须明确设计意图和适用范围，以使设计内容符合实际情况；对所采用的通用构件，设计必须对各类构件的适用范围和注意事项等仔细了解清楚，以避免误用。</w:t>
      </w:r>
    </w:p>
    <w:p>
      <w:pPr>
        <w:adjustRightInd w:val="0"/>
        <w:snapToGrid w:val="0"/>
        <w:spacing w:line="360" w:lineRule="auto"/>
        <w:ind w:firstLine="560" w:firstLineChars="200"/>
        <w:jc w:val="left"/>
        <w:rPr>
          <w:sz w:val="28"/>
          <w:highlight w:val="none"/>
        </w:rPr>
      </w:pPr>
      <w:bookmarkStart w:id="225" w:name="_Toc342057104"/>
      <w:bookmarkStart w:id="226" w:name="_Toc29906"/>
      <w:bookmarkStart w:id="227" w:name="_Toc61006890"/>
      <w:r>
        <w:rPr>
          <w:rFonts w:hint="eastAsia"/>
          <w:sz w:val="28"/>
          <w:highlight w:val="none"/>
        </w:rPr>
        <w:t>2、荷载取值要求</w:t>
      </w:r>
      <w:bookmarkEnd w:id="225"/>
      <w:bookmarkEnd w:id="226"/>
      <w:bookmarkEnd w:id="227"/>
    </w:p>
    <w:p>
      <w:pPr>
        <w:adjustRightInd w:val="0"/>
        <w:snapToGrid w:val="0"/>
        <w:spacing w:line="360" w:lineRule="auto"/>
        <w:ind w:firstLine="560" w:firstLineChars="200"/>
        <w:jc w:val="left"/>
        <w:rPr>
          <w:sz w:val="28"/>
          <w:highlight w:val="none"/>
        </w:rPr>
      </w:pPr>
      <w:r>
        <w:rPr>
          <w:rFonts w:hint="eastAsia"/>
          <w:sz w:val="28"/>
          <w:highlight w:val="none"/>
        </w:rPr>
        <w:t>2.1 一般规定</w:t>
      </w:r>
    </w:p>
    <w:p>
      <w:pPr>
        <w:adjustRightInd w:val="0"/>
        <w:snapToGrid w:val="0"/>
        <w:spacing w:line="360" w:lineRule="auto"/>
        <w:ind w:firstLine="560" w:firstLineChars="200"/>
        <w:jc w:val="left"/>
        <w:rPr>
          <w:sz w:val="28"/>
          <w:highlight w:val="none"/>
        </w:rPr>
      </w:pPr>
      <w:r>
        <w:rPr>
          <w:rFonts w:hint="eastAsia"/>
          <w:sz w:val="28"/>
          <w:highlight w:val="none"/>
        </w:rPr>
        <w:t>（1）钢结构住宅的承重构件，应按承载力极限状态和正常使用极限状态进行设计。</w:t>
      </w:r>
    </w:p>
    <w:p>
      <w:pPr>
        <w:adjustRightInd w:val="0"/>
        <w:snapToGrid w:val="0"/>
        <w:spacing w:line="360" w:lineRule="auto"/>
        <w:ind w:firstLine="560" w:firstLineChars="200"/>
        <w:jc w:val="left"/>
        <w:rPr>
          <w:sz w:val="28"/>
          <w:highlight w:val="none"/>
        </w:rPr>
      </w:pPr>
      <w:r>
        <w:rPr>
          <w:rFonts w:hint="eastAsia"/>
          <w:sz w:val="28"/>
          <w:highlight w:val="none"/>
        </w:rPr>
        <w:t>（2）在抗震设防地区，钢结构应严格按照现行国家准《建筑抗震设计规范》GB50011进行抗震设防设计。</w:t>
      </w:r>
    </w:p>
    <w:p>
      <w:pPr>
        <w:adjustRightInd w:val="0"/>
        <w:snapToGrid w:val="0"/>
        <w:spacing w:line="360" w:lineRule="auto"/>
        <w:ind w:firstLine="560" w:firstLineChars="200"/>
        <w:jc w:val="left"/>
        <w:rPr>
          <w:sz w:val="28"/>
          <w:highlight w:val="none"/>
        </w:rPr>
      </w:pPr>
      <w:r>
        <w:rPr>
          <w:rFonts w:hint="eastAsia"/>
          <w:sz w:val="28"/>
          <w:highlight w:val="none"/>
        </w:rPr>
        <w:t>（3）保证结构具有必要的承载能力、刚度与变形能力。</w:t>
      </w:r>
    </w:p>
    <w:p>
      <w:pPr>
        <w:adjustRightInd w:val="0"/>
        <w:snapToGrid w:val="0"/>
        <w:spacing w:line="360" w:lineRule="auto"/>
        <w:ind w:firstLine="560" w:firstLineChars="200"/>
        <w:jc w:val="left"/>
        <w:rPr>
          <w:sz w:val="28"/>
          <w:highlight w:val="none"/>
        </w:rPr>
      </w:pPr>
      <w:r>
        <w:rPr>
          <w:rFonts w:hint="eastAsia"/>
          <w:sz w:val="28"/>
          <w:highlight w:val="none"/>
        </w:rPr>
        <w:t>（4）钢构件的防锈、涂装应有专项设计内容，并符合《冷弯薄壁型钢结构技术规范》GB50018及《钢结构住宅设计规范》CECS之规定。</w:t>
      </w:r>
    </w:p>
    <w:p>
      <w:pPr>
        <w:adjustRightInd w:val="0"/>
        <w:snapToGrid w:val="0"/>
        <w:spacing w:line="360" w:lineRule="auto"/>
        <w:ind w:firstLine="560" w:firstLineChars="200"/>
        <w:jc w:val="left"/>
        <w:rPr>
          <w:sz w:val="28"/>
          <w:highlight w:val="none"/>
        </w:rPr>
      </w:pPr>
      <w:r>
        <w:rPr>
          <w:rFonts w:hint="eastAsia"/>
          <w:sz w:val="28"/>
          <w:highlight w:val="none"/>
        </w:rPr>
        <w:t>（5）钢结构的防火设计应符合现行标准《建筑钢结构防火技术规范》CECS200的规定，并进行单项工程性能化抗火设计。</w:t>
      </w:r>
    </w:p>
    <w:p>
      <w:pPr>
        <w:adjustRightInd w:val="0"/>
        <w:snapToGrid w:val="0"/>
        <w:spacing w:line="360" w:lineRule="auto"/>
        <w:ind w:firstLine="560" w:firstLineChars="200"/>
        <w:jc w:val="left"/>
        <w:rPr>
          <w:sz w:val="28"/>
          <w:highlight w:val="none"/>
        </w:rPr>
      </w:pPr>
      <w:r>
        <w:rPr>
          <w:rFonts w:hint="eastAsia"/>
          <w:sz w:val="28"/>
          <w:highlight w:val="none"/>
        </w:rPr>
        <w:t>2.2 荷载和作用</w:t>
      </w:r>
    </w:p>
    <w:p>
      <w:pPr>
        <w:adjustRightInd w:val="0"/>
        <w:snapToGrid w:val="0"/>
        <w:spacing w:line="360" w:lineRule="auto"/>
        <w:ind w:firstLine="560" w:firstLineChars="200"/>
        <w:jc w:val="left"/>
        <w:rPr>
          <w:sz w:val="28"/>
          <w:highlight w:val="none"/>
        </w:rPr>
      </w:pPr>
      <w:r>
        <w:rPr>
          <w:rFonts w:hint="eastAsia"/>
          <w:sz w:val="28"/>
          <w:highlight w:val="none"/>
        </w:rPr>
        <w:t>2.2.1 钢结构办公的荷载和作用除应符合现行国家标准《建筑结构荷载规范》GB50009的有关规定外，尚应遵守下列规定：</w:t>
      </w:r>
    </w:p>
    <w:p>
      <w:pPr>
        <w:adjustRightInd w:val="0"/>
        <w:snapToGrid w:val="0"/>
        <w:spacing w:line="360" w:lineRule="auto"/>
        <w:ind w:firstLine="560" w:firstLineChars="200"/>
        <w:jc w:val="left"/>
        <w:rPr>
          <w:sz w:val="28"/>
          <w:highlight w:val="none"/>
        </w:rPr>
      </w:pPr>
      <w:r>
        <w:rPr>
          <w:rFonts w:hint="eastAsia"/>
          <w:sz w:val="28"/>
          <w:highlight w:val="none"/>
        </w:rPr>
        <w:t>（1）竖向荷载</w:t>
      </w:r>
    </w:p>
    <w:p>
      <w:pPr>
        <w:adjustRightInd w:val="0"/>
        <w:snapToGrid w:val="0"/>
        <w:spacing w:line="360" w:lineRule="auto"/>
        <w:ind w:firstLine="560" w:firstLineChars="200"/>
        <w:jc w:val="left"/>
        <w:rPr>
          <w:sz w:val="28"/>
          <w:highlight w:val="none"/>
        </w:rPr>
      </w:pPr>
      <w:r>
        <w:rPr>
          <w:rFonts w:hint="eastAsia"/>
          <w:sz w:val="28"/>
          <w:highlight w:val="none"/>
        </w:rPr>
        <w:t>1）各楼层的楼面荷载，应考虑二次装修（地面、墙面、吊顶等）产生的均布永久荷载；</w:t>
      </w:r>
    </w:p>
    <w:p>
      <w:pPr>
        <w:adjustRightInd w:val="0"/>
        <w:snapToGrid w:val="0"/>
        <w:spacing w:line="360" w:lineRule="auto"/>
        <w:ind w:firstLine="560" w:firstLineChars="200"/>
        <w:jc w:val="left"/>
        <w:rPr>
          <w:sz w:val="28"/>
          <w:highlight w:val="none"/>
        </w:rPr>
      </w:pPr>
      <w:r>
        <w:rPr>
          <w:rFonts w:hint="eastAsia"/>
          <w:sz w:val="28"/>
          <w:highlight w:val="none"/>
        </w:rPr>
        <w:t>2）各居住层的固定隔墙应按永久荷载考虑。大开间或跃层内灵活布置的轻质隔墙时，其自重可取每延米墙重（KN/m）的1/3作为楼面附加可变荷载（KN/m2），且其标准值不应小于1.0 KN/m2；</w:t>
      </w:r>
    </w:p>
    <w:p>
      <w:pPr>
        <w:adjustRightInd w:val="0"/>
        <w:snapToGrid w:val="0"/>
        <w:spacing w:line="360" w:lineRule="auto"/>
        <w:ind w:firstLine="560" w:firstLineChars="200"/>
        <w:jc w:val="left"/>
        <w:rPr>
          <w:sz w:val="28"/>
          <w:highlight w:val="none"/>
        </w:rPr>
      </w:pPr>
      <w:r>
        <w:rPr>
          <w:rFonts w:hint="eastAsia"/>
          <w:sz w:val="28"/>
          <w:highlight w:val="none"/>
        </w:rPr>
        <w:t>4）屋顶的绿化覆土，其重量应按实际的附加永久荷载考虑，且不应小于3.0 KN/m2；</w:t>
      </w:r>
    </w:p>
    <w:p>
      <w:pPr>
        <w:adjustRightInd w:val="0"/>
        <w:snapToGrid w:val="0"/>
        <w:spacing w:line="360" w:lineRule="auto"/>
        <w:ind w:firstLine="560" w:firstLineChars="200"/>
        <w:jc w:val="left"/>
        <w:rPr>
          <w:sz w:val="28"/>
          <w:highlight w:val="none"/>
        </w:rPr>
      </w:pPr>
      <w:r>
        <w:rPr>
          <w:rFonts w:hint="eastAsia"/>
          <w:sz w:val="28"/>
          <w:highlight w:val="none"/>
        </w:rPr>
        <w:t>5）其他附加荷载，如水箱、广告牌、LED屏、屋顶构架等荷载，应按实际情况考虑；</w:t>
      </w:r>
    </w:p>
    <w:p>
      <w:pPr>
        <w:adjustRightInd w:val="0"/>
        <w:snapToGrid w:val="0"/>
        <w:spacing w:line="360" w:lineRule="auto"/>
        <w:ind w:firstLine="560" w:firstLineChars="200"/>
        <w:jc w:val="left"/>
        <w:rPr>
          <w:sz w:val="28"/>
          <w:highlight w:val="none"/>
        </w:rPr>
      </w:pPr>
      <w:r>
        <w:rPr>
          <w:rFonts w:hint="eastAsia"/>
          <w:sz w:val="28"/>
          <w:highlight w:val="none"/>
        </w:rPr>
        <w:t>6）设计文件中宜注明内隔墙允许悬挂水箱等较重荷载的部位和量值。</w:t>
      </w:r>
    </w:p>
    <w:p>
      <w:pPr>
        <w:adjustRightInd w:val="0"/>
        <w:snapToGrid w:val="0"/>
        <w:spacing w:line="360" w:lineRule="auto"/>
        <w:ind w:firstLine="560" w:firstLineChars="200"/>
        <w:jc w:val="left"/>
        <w:rPr>
          <w:sz w:val="28"/>
          <w:highlight w:val="none"/>
        </w:rPr>
      </w:pPr>
      <w:r>
        <w:rPr>
          <w:rFonts w:hint="eastAsia"/>
          <w:sz w:val="28"/>
          <w:highlight w:val="none"/>
        </w:rPr>
        <w:t>（2）风荷载</w:t>
      </w:r>
    </w:p>
    <w:p>
      <w:pPr>
        <w:adjustRightInd w:val="0"/>
        <w:snapToGrid w:val="0"/>
        <w:spacing w:line="360" w:lineRule="auto"/>
        <w:ind w:firstLine="560" w:firstLineChars="200"/>
        <w:jc w:val="left"/>
        <w:rPr>
          <w:sz w:val="28"/>
          <w:highlight w:val="none"/>
        </w:rPr>
      </w:pPr>
      <w:r>
        <w:rPr>
          <w:rFonts w:hint="eastAsia"/>
          <w:sz w:val="28"/>
          <w:highlight w:val="none"/>
        </w:rPr>
        <w:t>1）结构高度超过30m且高宽比大于1.5时（高度自地面或大底盘顶面算起），风荷载标准值中应计入风振系数。当结构高度大于60m时，风荷载可按100年一遇的风压值采用。</w:t>
      </w:r>
    </w:p>
    <w:p>
      <w:pPr>
        <w:adjustRightInd w:val="0"/>
        <w:snapToGrid w:val="0"/>
        <w:spacing w:line="360" w:lineRule="auto"/>
        <w:ind w:firstLine="560" w:firstLineChars="200"/>
        <w:jc w:val="left"/>
        <w:rPr>
          <w:sz w:val="28"/>
          <w:highlight w:val="none"/>
        </w:rPr>
      </w:pPr>
      <w:r>
        <w:rPr>
          <w:rFonts w:hint="eastAsia"/>
          <w:sz w:val="28"/>
          <w:highlight w:val="none"/>
        </w:rPr>
        <w:t>2）风荷载系数按相应标准《高层民用建筑钢结构技术规程》JGJ99的规定取值。</w:t>
      </w:r>
    </w:p>
    <w:p>
      <w:pPr>
        <w:adjustRightInd w:val="0"/>
        <w:snapToGrid w:val="0"/>
        <w:spacing w:line="360" w:lineRule="auto"/>
        <w:ind w:firstLine="560" w:firstLineChars="200"/>
        <w:jc w:val="left"/>
        <w:rPr>
          <w:sz w:val="28"/>
          <w:highlight w:val="none"/>
        </w:rPr>
      </w:pPr>
      <w:r>
        <w:rPr>
          <w:rFonts w:hint="eastAsia"/>
          <w:sz w:val="28"/>
          <w:highlight w:val="none"/>
        </w:rPr>
        <w:t>3）计算墙体围护结构的风荷载应计入阵风系数。</w:t>
      </w:r>
    </w:p>
    <w:p>
      <w:pPr>
        <w:adjustRightInd w:val="0"/>
        <w:snapToGrid w:val="0"/>
        <w:spacing w:line="360" w:lineRule="auto"/>
        <w:ind w:firstLine="560" w:firstLineChars="200"/>
        <w:jc w:val="left"/>
        <w:rPr>
          <w:sz w:val="28"/>
          <w:highlight w:val="none"/>
        </w:rPr>
      </w:pPr>
      <w:r>
        <w:rPr>
          <w:rFonts w:hint="eastAsia"/>
          <w:sz w:val="28"/>
          <w:highlight w:val="none"/>
        </w:rPr>
        <w:t>2.2.2 结构上的地震作用及荷载效应，应按现行国家标准《建筑抗震设计规范》GB50011和现行行业标准《高层民用建筑钢结构技术规程》JGJ99计算。</w:t>
      </w:r>
    </w:p>
    <w:p>
      <w:pPr>
        <w:adjustRightInd w:val="0"/>
        <w:snapToGrid w:val="0"/>
        <w:spacing w:line="360" w:lineRule="auto"/>
        <w:ind w:firstLine="560" w:firstLineChars="200"/>
        <w:jc w:val="left"/>
        <w:rPr>
          <w:sz w:val="28"/>
          <w:highlight w:val="none"/>
        </w:rPr>
      </w:pPr>
      <w:r>
        <w:rPr>
          <w:rFonts w:hint="eastAsia"/>
          <w:sz w:val="28"/>
          <w:highlight w:val="none"/>
        </w:rPr>
        <w:t>1）不进行扭转藕联计算的规则结构，其地震作用效应应乘以增大系数，一般可按1.15（短边边框架）或1.05（长边边框架）采用；当扭转刚度较小时，宜按不小于1.3采用。</w:t>
      </w:r>
    </w:p>
    <w:p>
      <w:pPr>
        <w:adjustRightInd w:val="0"/>
        <w:snapToGrid w:val="0"/>
        <w:spacing w:line="360" w:lineRule="auto"/>
        <w:ind w:firstLine="560" w:firstLineChars="200"/>
        <w:jc w:val="left"/>
        <w:rPr>
          <w:sz w:val="28"/>
          <w:highlight w:val="none"/>
        </w:rPr>
      </w:pPr>
      <w:r>
        <w:rPr>
          <w:rFonts w:hint="eastAsia"/>
          <w:sz w:val="28"/>
          <w:highlight w:val="none"/>
        </w:rPr>
        <w:t>2）计算层间水平地震剪力时，对竖向不规则结构的薄弱层，应乘以增大系数1.15。</w:t>
      </w:r>
    </w:p>
    <w:p>
      <w:pPr>
        <w:adjustRightInd w:val="0"/>
        <w:snapToGrid w:val="0"/>
        <w:spacing w:line="360" w:lineRule="auto"/>
        <w:ind w:firstLine="560" w:firstLineChars="200"/>
        <w:jc w:val="left"/>
        <w:rPr>
          <w:sz w:val="28"/>
          <w:highlight w:val="none"/>
        </w:rPr>
      </w:pPr>
      <w:r>
        <w:rPr>
          <w:rFonts w:hint="eastAsia"/>
          <w:sz w:val="28"/>
          <w:highlight w:val="none"/>
        </w:rPr>
        <w:t>3）钢结构转换层下的钢框架柱或承托剪力墙的钢柱，其地震内力应乘以增大系数1.5。</w:t>
      </w:r>
    </w:p>
    <w:p>
      <w:pPr>
        <w:adjustRightInd w:val="0"/>
        <w:snapToGrid w:val="0"/>
        <w:spacing w:line="360" w:lineRule="auto"/>
        <w:ind w:firstLine="560" w:firstLineChars="200"/>
        <w:jc w:val="left"/>
        <w:rPr>
          <w:sz w:val="28"/>
          <w:highlight w:val="none"/>
        </w:rPr>
      </w:pPr>
      <w:r>
        <w:rPr>
          <w:rFonts w:hint="eastAsia"/>
          <w:sz w:val="28"/>
          <w:highlight w:val="none"/>
        </w:rPr>
        <w:t>4）人字形和V形中心支撑的地震作用组合内力应乘以增大系数1.5；交叉支撑应乘以1.3。</w:t>
      </w:r>
    </w:p>
    <w:p>
      <w:pPr>
        <w:adjustRightInd w:val="0"/>
        <w:snapToGrid w:val="0"/>
        <w:spacing w:line="360" w:lineRule="auto"/>
        <w:ind w:firstLine="560" w:firstLineChars="200"/>
        <w:jc w:val="left"/>
        <w:rPr>
          <w:sz w:val="28"/>
          <w:highlight w:val="none"/>
        </w:rPr>
      </w:pPr>
      <w:r>
        <w:rPr>
          <w:rFonts w:hint="eastAsia"/>
          <w:sz w:val="28"/>
          <w:highlight w:val="none"/>
        </w:rPr>
        <w:t>5）采用底部剪力法计算时，对突出屋面的屋顶间、女儿墙、烟囱等地震作用效应应乘以增大系数3.0。</w:t>
      </w:r>
    </w:p>
    <w:p>
      <w:pPr>
        <w:adjustRightInd w:val="0"/>
        <w:snapToGrid w:val="0"/>
        <w:spacing w:line="360" w:lineRule="auto"/>
        <w:ind w:firstLine="560" w:firstLineChars="200"/>
        <w:jc w:val="left"/>
        <w:rPr>
          <w:sz w:val="28"/>
          <w:highlight w:val="none"/>
        </w:rPr>
      </w:pPr>
      <w:r>
        <w:rPr>
          <w:rFonts w:hint="eastAsia"/>
          <w:sz w:val="28"/>
          <w:highlight w:val="none"/>
        </w:rPr>
        <w:t>2.3 其它</w:t>
      </w:r>
    </w:p>
    <w:p>
      <w:pPr>
        <w:adjustRightInd w:val="0"/>
        <w:snapToGrid w:val="0"/>
        <w:spacing w:line="360" w:lineRule="auto"/>
        <w:ind w:firstLine="560" w:firstLineChars="200"/>
        <w:jc w:val="left"/>
        <w:rPr>
          <w:sz w:val="28"/>
          <w:highlight w:val="none"/>
        </w:rPr>
      </w:pPr>
      <w:r>
        <w:rPr>
          <w:rFonts w:hint="eastAsia"/>
          <w:sz w:val="28"/>
          <w:highlight w:val="none"/>
        </w:rPr>
        <w:t>2.3.1 荷载输入总原则：保证总荷载不变，输入尽量简化，荷载的选取对结构造价产生重大影响，尤其板厚应根据具体计算要求和构造要求确定，不应随意加大；各荷载取值应报发包人批准后执行。</w:t>
      </w:r>
    </w:p>
    <w:p>
      <w:pPr>
        <w:adjustRightInd w:val="0"/>
        <w:snapToGrid w:val="0"/>
        <w:spacing w:line="360" w:lineRule="auto"/>
        <w:ind w:firstLine="560" w:firstLineChars="200"/>
        <w:jc w:val="left"/>
        <w:rPr>
          <w:sz w:val="28"/>
          <w:highlight w:val="none"/>
        </w:rPr>
      </w:pPr>
      <w:r>
        <w:rPr>
          <w:rFonts w:hint="eastAsia"/>
          <w:sz w:val="28"/>
          <w:highlight w:val="none"/>
        </w:rPr>
        <w:t>2.3.2 屋面、楼面、地面及建筑隔墙的恒荷载标准值根据本设计任务书建筑部分要求使用的材料、墙体厚度及装修标准计算确定。</w:t>
      </w:r>
    </w:p>
    <w:p>
      <w:pPr>
        <w:adjustRightInd w:val="0"/>
        <w:snapToGrid w:val="0"/>
        <w:spacing w:line="360" w:lineRule="auto"/>
        <w:ind w:firstLine="560" w:firstLineChars="200"/>
        <w:jc w:val="left"/>
        <w:rPr>
          <w:sz w:val="28"/>
          <w:highlight w:val="none"/>
        </w:rPr>
      </w:pPr>
      <w:r>
        <w:rPr>
          <w:rFonts w:hint="eastAsia"/>
          <w:sz w:val="28"/>
          <w:highlight w:val="none"/>
        </w:rPr>
        <w:t>2.3.3 填充墙容重：填充墙宜选用轻质材料砌体或砌块，外墙材料须根据实际情况综合考虑容重、保温性能、防止渗漏等问题选用，所用材料以当地常用材料为首选，由设计单位提供建议，由发包人进行决定确认。</w:t>
      </w:r>
    </w:p>
    <w:p>
      <w:pPr>
        <w:adjustRightInd w:val="0"/>
        <w:snapToGrid w:val="0"/>
        <w:spacing w:line="360" w:lineRule="auto"/>
        <w:ind w:firstLine="560" w:firstLineChars="200"/>
        <w:jc w:val="left"/>
        <w:rPr>
          <w:sz w:val="28"/>
          <w:highlight w:val="none"/>
        </w:rPr>
      </w:pPr>
      <w:r>
        <w:rPr>
          <w:rFonts w:hint="eastAsia"/>
          <w:sz w:val="28"/>
          <w:highlight w:val="none"/>
        </w:rPr>
        <w:t>2.3.4 使用活荷载</w:t>
      </w:r>
    </w:p>
    <w:p>
      <w:pPr>
        <w:adjustRightInd w:val="0"/>
        <w:snapToGrid w:val="0"/>
        <w:spacing w:line="360" w:lineRule="auto"/>
        <w:ind w:firstLine="560" w:firstLineChars="200"/>
        <w:jc w:val="left"/>
        <w:rPr>
          <w:sz w:val="28"/>
          <w:highlight w:val="none"/>
        </w:rPr>
      </w:pPr>
      <w:r>
        <w:rPr>
          <w:rFonts w:hint="eastAsia"/>
          <w:sz w:val="28"/>
          <w:highlight w:val="none"/>
        </w:rPr>
        <w:t>2.3.4.1 商业部分</w:t>
      </w:r>
    </w:p>
    <w:p>
      <w:pPr>
        <w:adjustRightInd w:val="0"/>
        <w:snapToGrid w:val="0"/>
        <w:spacing w:line="360" w:lineRule="auto"/>
        <w:ind w:firstLine="560" w:firstLineChars="200"/>
        <w:jc w:val="left"/>
        <w:rPr>
          <w:sz w:val="28"/>
          <w:highlight w:val="none"/>
        </w:rPr>
      </w:pPr>
      <w:r>
        <w:rPr>
          <w:rFonts w:hint="eastAsia"/>
          <w:sz w:val="28"/>
          <w:highlight w:val="none"/>
        </w:rPr>
        <w:t>（1）底层商业配套：4KN/㎡；</w:t>
      </w:r>
    </w:p>
    <w:p>
      <w:pPr>
        <w:adjustRightInd w:val="0"/>
        <w:snapToGrid w:val="0"/>
        <w:spacing w:line="360" w:lineRule="auto"/>
        <w:ind w:firstLine="560" w:firstLineChars="200"/>
        <w:jc w:val="left"/>
        <w:rPr>
          <w:sz w:val="28"/>
          <w:highlight w:val="none"/>
        </w:rPr>
      </w:pPr>
      <w:r>
        <w:rPr>
          <w:rFonts w:hint="eastAsia"/>
          <w:sz w:val="28"/>
          <w:highlight w:val="none"/>
        </w:rPr>
        <w:t>（2）餐饮厨房（厨房应根据建筑要求进行降板，降板区域填料计入恒载，垫层厚度按300mm考虑，恒载小于2KN/㎡）：4KN/㎡。</w:t>
      </w:r>
    </w:p>
    <w:p>
      <w:pPr>
        <w:adjustRightInd w:val="0"/>
        <w:snapToGrid w:val="0"/>
        <w:spacing w:line="360" w:lineRule="auto"/>
        <w:ind w:firstLine="560" w:firstLineChars="200"/>
        <w:jc w:val="left"/>
        <w:rPr>
          <w:sz w:val="28"/>
          <w:highlight w:val="none"/>
        </w:rPr>
      </w:pPr>
      <w:r>
        <w:rPr>
          <w:rFonts w:hint="eastAsia"/>
          <w:sz w:val="28"/>
          <w:highlight w:val="none"/>
        </w:rPr>
        <w:t>（3）用餐区：4KN/㎡。</w:t>
      </w:r>
    </w:p>
    <w:p>
      <w:pPr>
        <w:adjustRightInd w:val="0"/>
        <w:snapToGrid w:val="0"/>
        <w:spacing w:line="360" w:lineRule="auto"/>
        <w:ind w:firstLine="560" w:firstLineChars="200"/>
        <w:jc w:val="left"/>
        <w:rPr>
          <w:sz w:val="28"/>
          <w:highlight w:val="none"/>
        </w:rPr>
      </w:pPr>
      <w:r>
        <w:rPr>
          <w:rFonts w:hint="eastAsia"/>
          <w:sz w:val="28"/>
          <w:highlight w:val="none"/>
        </w:rPr>
        <w:t>（4）消防楼梯：</w:t>
      </w:r>
      <w:r>
        <w:rPr>
          <w:sz w:val="28"/>
          <w:highlight w:val="none"/>
        </w:rPr>
        <w:t>3.5</w:t>
      </w:r>
      <w:r>
        <w:rPr>
          <w:rFonts w:hint="eastAsia"/>
          <w:sz w:val="28"/>
          <w:highlight w:val="none"/>
        </w:rPr>
        <w:t>KN/㎡。</w:t>
      </w:r>
    </w:p>
    <w:p>
      <w:pPr>
        <w:adjustRightInd w:val="0"/>
        <w:snapToGrid w:val="0"/>
        <w:spacing w:line="360" w:lineRule="auto"/>
        <w:ind w:firstLine="560" w:firstLineChars="200"/>
        <w:jc w:val="left"/>
        <w:rPr>
          <w:sz w:val="28"/>
          <w:highlight w:val="none"/>
        </w:rPr>
      </w:pPr>
      <w:r>
        <w:rPr>
          <w:rFonts w:hint="eastAsia"/>
          <w:sz w:val="28"/>
          <w:highlight w:val="none"/>
        </w:rPr>
        <w:t>2.3.4.2 办公部分</w:t>
      </w:r>
    </w:p>
    <w:p>
      <w:pPr>
        <w:adjustRightInd w:val="0"/>
        <w:snapToGrid w:val="0"/>
        <w:spacing w:line="360" w:lineRule="auto"/>
        <w:ind w:firstLine="560" w:firstLineChars="200"/>
        <w:jc w:val="left"/>
        <w:rPr>
          <w:sz w:val="28"/>
          <w:highlight w:val="none"/>
        </w:rPr>
      </w:pPr>
      <w:r>
        <w:rPr>
          <w:rFonts w:hint="eastAsia"/>
          <w:sz w:val="28"/>
          <w:highlight w:val="none"/>
        </w:rPr>
        <w:t>（1）卫生间：</w:t>
      </w:r>
      <w:r>
        <w:rPr>
          <w:sz w:val="28"/>
          <w:highlight w:val="none"/>
        </w:rPr>
        <w:t>2.5kN/m2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（2）消防疏散楼梯：</w:t>
      </w:r>
      <w:r>
        <w:rPr>
          <w:sz w:val="28"/>
          <w:highlight w:val="none"/>
        </w:rPr>
        <w:t>3.5kN/m2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（3）其他办公区域：</w:t>
      </w:r>
      <w:r>
        <w:rPr>
          <w:sz w:val="28"/>
          <w:highlight w:val="none"/>
        </w:rPr>
        <w:t>2.0kN/m2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2.3.4.3 消防车道、消防登高场</w:t>
      </w:r>
    </w:p>
    <w:p>
      <w:pPr>
        <w:adjustRightInd w:val="0"/>
        <w:snapToGrid w:val="0"/>
        <w:spacing w:line="360" w:lineRule="auto"/>
        <w:ind w:firstLine="560" w:firstLineChars="200"/>
        <w:jc w:val="left"/>
        <w:rPr>
          <w:sz w:val="28"/>
          <w:highlight w:val="none"/>
        </w:rPr>
      </w:pPr>
      <w:r>
        <w:rPr>
          <w:rFonts w:hint="eastAsia"/>
          <w:sz w:val="28"/>
          <w:highlight w:val="none"/>
        </w:rPr>
        <w:t>消防车重</w:t>
      </w:r>
      <w:r>
        <w:rPr>
          <w:sz w:val="28"/>
          <w:highlight w:val="none"/>
        </w:rPr>
        <w:t>300kN</w:t>
      </w:r>
      <w:r>
        <w:rPr>
          <w:rFonts w:hint="eastAsia"/>
          <w:sz w:val="28"/>
          <w:highlight w:val="none"/>
        </w:rPr>
        <w:t>，考虑荷载的最不利布置及车轮下垫层的应力扩散，按照结构效应的等效原则，换算为等效均布荷载，基础、裂缝控制只考虑平时使用荷载，梁、柱、楼板强度设计时考虑消防车荷载组合。当结构板上存在覆土或其他填充物时，消防车的轮压需要考虑应力扩散予以折减后作用于结构梁板上，消防车荷载按照规范要求进行最不利布置计算梁板的截面和配筋，柱、基础设计以及裂缝宽度控制不考虑消防车荷载，但应满足正常使用荷载的要求。</w:t>
      </w:r>
    </w:p>
    <w:p>
      <w:pPr>
        <w:adjustRightInd w:val="0"/>
        <w:snapToGrid w:val="0"/>
        <w:spacing w:line="360" w:lineRule="auto"/>
        <w:ind w:firstLine="560" w:firstLineChars="200"/>
        <w:jc w:val="left"/>
        <w:rPr>
          <w:sz w:val="28"/>
          <w:highlight w:val="none"/>
        </w:rPr>
      </w:pPr>
      <w:r>
        <w:rPr>
          <w:rFonts w:hint="eastAsia"/>
          <w:sz w:val="28"/>
          <w:highlight w:val="none"/>
        </w:rPr>
        <w:t>2.3.4.4 屋面美化（不考虑覆土）：</w:t>
      </w:r>
      <w:r>
        <w:rPr>
          <w:sz w:val="28"/>
          <w:highlight w:val="none"/>
        </w:rPr>
        <w:t>3.0kN/m2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2.3.4.5 屋面绿化（考虑</w:t>
      </w:r>
      <w:r>
        <w:rPr>
          <w:sz w:val="28"/>
          <w:highlight w:val="none"/>
        </w:rPr>
        <w:t>500</w:t>
      </w:r>
      <w:r>
        <w:rPr>
          <w:rFonts w:hint="eastAsia"/>
          <w:sz w:val="28"/>
          <w:highlight w:val="none"/>
        </w:rPr>
        <w:t>厚覆土恒载）：</w:t>
      </w:r>
      <w:r>
        <w:rPr>
          <w:sz w:val="28"/>
          <w:highlight w:val="none"/>
        </w:rPr>
        <w:t>3.0kN/m2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2.3..4.6 电梯机房：</w:t>
      </w:r>
      <w:r>
        <w:rPr>
          <w:sz w:val="28"/>
          <w:highlight w:val="none"/>
        </w:rPr>
        <w:t>7.0kN/m2</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2.3.4.7 设备荷载，根据各专业提供的条件进行设计。</w:t>
      </w:r>
    </w:p>
    <w:p>
      <w:pPr>
        <w:adjustRightInd w:val="0"/>
        <w:snapToGrid w:val="0"/>
        <w:spacing w:line="360" w:lineRule="auto"/>
        <w:ind w:firstLine="560" w:firstLineChars="200"/>
        <w:jc w:val="left"/>
        <w:rPr>
          <w:sz w:val="28"/>
          <w:highlight w:val="none"/>
        </w:rPr>
      </w:pPr>
      <w:r>
        <w:rPr>
          <w:rFonts w:hint="eastAsia"/>
          <w:sz w:val="28"/>
          <w:highlight w:val="none"/>
        </w:rPr>
        <w:t>2.3.4.8 其他未列荷载按国标</w:t>
      </w:r>
      <w:r>
        <w:rPr>
          <w:sz w:val="28"/>
          <w:highlight w:val="none"/>
        </w:rPr>
        <w:t>GB50009-2001</w:t>
      </w:r>
      <w:r>
        <w:rPr>
          <w:rFonts w:hint="eastAsia"/>
          <w:sz w:val="28"/>
          <w:highlight w:val="none"/>
        </w:rPr>
        <w:t>取值。</w:t>
      </w:r>
      <w:bookmarkStart w:id="228" w:name="_Toc342057105"/>
      <w:bookmarkStart w:id="229" w:name="_Toc17702"/>
    </w:p>
    <w:bookmarkEnd w:id="228"/>
    <w:bookmarkEnd w:id="229"/>
    <w:p>
      <w:pPr>
        <w:adjustRightInd w:val="0"/>
        <w:snapToGrid w:val="0"/>
        <w:spacing w:line="360" w:lineRule="auto"/>
        <w:ind w:firstLine="560" w:firstLineChars="200"/>
        <w:jc w:val="left"/>
        <w:rPr>
          <w:sz w:val="28"/>
          <w:highlight w:val="none"/>
        </w:rPr>
      </w:pPr>
      <w:bookmarkStart w:id="230" w:name="_Toc61006901"/>
      <w:bookmarkStart w:id="231" w:name="_Toc10741"/>
      <w:bookmarkStart w:id="232" w:name="_Toc342057118"/>
      <w:r>
        <w:rPr>
          <w:rFonts w:hint="eastAsia"/>
          <w:sz w:val="28"/>
          <w:highlight w:val="none"/>
        </w:rPr>
        <w:t>3、上部结构</w:t>
      </w:r>
      <w:bookmarkEnd w:id="230"/>
      <w:bookmarkEnd w:id="231"/>
      <w:bookmarkEnd w:id="232"/>
    </w:p>
    <w:p>
      <w:pPr>
        <w:adjustRightInd w:val="0"/>
        <w:snapToGrid w:val="0"/>
        <w:spacing w:line="360" w:lineRule="auto"/>
        <w:ind w:firstLine="560" w:firstLineChars="200"/>
        <w:jc w:val="left"/>
        <w:rPr>
          <w:sz w:val="28"/>
          <w:highlight w:val="none"/>
        </w:rPr>
      </w:pPr>
      <w:r>
        <w:rPr>
          <w:rFonts w:hint="eastAsia"/>
          <w:sz w:val="28"/>
          <w:highlight w:val="none"/>
        </w:rPr>
        <w:t>3.1 上部结构宜少设永久缝，当建筑物长、宽超限时，应采用相应的结构措施及施工措施调节温度应力。</w:t>
      </w:r>
    </w:p>
    <w:p>
      <w:pPr>
        <w:adjustRightInd w:val="0"/>
        <w:snapToGrid w:val="0"/>
        <w:spacing w:line="360" w:lineRule="auto"/>
        <w:ind w:firstLine="560" w:firstLineChars="200"/>
        <w:jc w:val="left"/>
        <w:rPr>
          <w:sz w:val="28"/>
          <w:highlight w:val="none"/>
        </w:rPr>
      </w:pPr>
      <w:r>
        <w:rPr>
          <w:rFonts w:hint="eastAsia"/>
          <w:sz w:val="28"/>
          <w:highlight w:val="none"/>
        </w:rPr>
        <w:t>3.2 楼盖一般采用钢梁+现浇钢筋混凝土楼板（或钢筋桁架楼承板）。结构布置时，应充分考虑建筑空间要求。</w:t>
      </w:r>
    </w:p>
    <w:p>
      <w:pPr>
        <w:adjustRightInd w:val="0"/>
        <w:snapToGrid w:val="0"/>
        <w:spacing w:line="360" w:lineRule="auto"/>
        <w:ind w:firstLine="560" w:firstLineChars="200"/>
        <w:jc w:val="left"/>
        <w:rPr>
          <w:sz w:val="28"/>
          <w:highlight w:val="none"/>
        </w:rPr>
      </w:pPr>
      <w:r>
        <w:rPr>
          <w:rFonts w:hint="eastAsia"/>
          <w:sz w:val="28"/>
          <w:highlight w:val="none"/>
        </w:rPr>
        <w:t>3.3 尽可能减少不必要梁的设置，对于跨度小于</w:t>
      </w:r>
      <w:r>
        <w:rPr>
          <w:sz w:val="28"/>
          <w:highlight w:val="none"/>
        </w:rPr>
        <w:t>1500mm</w:t>
      </w:r>
      <w:r>
        <w:rPr>
          <w:rFonts w:hint="eastAsia"/>
          <w:sz w:val="28"/>
          <w:highlight w:val="none"/>
        </w:rPr>
        <w:t>的位置能够不设梁的尽可能不设梁，以板上加筋方式处理。</w:t>
      </w:r>
    </w:p>
    <w:p>
      <w:pPr>
        <w:adjustRightInd w:val="0"/>
        <w:snapToGrid w:val="0"/>
        <w:spacing w:line="360" w:lineRule="auto"/>
        <w:ind w:firstLine="560" w:firstLineChars="200"/>
        <w:jc w:val="left"/>
        <w:rPr>
          <w:sz w:val="28"/>
          <w:highlight w:val="none"/>
        </w:rPr>
      </w:pPr>
      <w:r>
        <w:rPr>
          <w:rFonts w:hint="eastAsia"/>
          <w:sz w:val="28"/>
          <w:highlight w:val="none"/>
        </w:rPr>
        <w:t>3.4 次梁不得正搭于商铺及办公单元房间门的正上方。</w:t>
      </w:r>
    </w:p>
    <w:p>
      <w:pPr>
        <w:adjustRightInd w:val="0"/>
        <w:snapToGrid w:val="0"/>
        <w:spacing w:line="360" w:lineRule="auto"/>
        <w:ind w:firstLine="560" w:firstLineChars="200"/>
        <w:jc w:val="left"/>
        <w:rPr>
          <w:sz w:val="28"/>
          <w:highlight w:val="none"/>
        </w:rPr>
      </w:pPr>
      <w:r>
        <w:rPr>
          <w:rFonts w:hint="eastAsia"/>
          <w:sz w:val="28"/>
          <w:highlight w:val="none"/>
        </w:rPr>
        <w:t>3.5 楼板按跨度不同确定厚度，应考虑电气穿线管对板厚的影响，防止开裂，注意经济性。</w:t>
      </w:r>
    </w:p>
    <w:p>
      <w:pPr>
        <w:adjustRightInd w:val="0"/>
        <w:snapToGrid w:val="0"/>
        <w:spacing w:line="360" w:lineRule="auto"/>
        <w:ind w:firstLine="560" w:firstLineChars="200"/>
        <w:jc w:val="left"/>
        <w:rPr>
          <w:sz w:val="28"/>
          <w:highlight w:val="none"/>
        </w:rPr>
      </w:pPr>
      <w:r>
        <w:rPr>
          <w:rFonts w:hint="eastAsia"/>
          <w:sz w:val="28"/>
          <w:highlight w:val="none"/>
        </w:rPr>
        <w:t>3.6 上人屋面（特别是办公平台花园）配筋宜按双层双向配置，按规范要求控制裂缝宽度。</w:t>
      </w:r>
    </w:p>
    <w:p>
      <w:pPr>
        <w:adjustRightInd w:val="0"/>
        <w:snapToGrid w:val="0"/>
        <w:spacing w:line="360" w:lineRule="auto"/>
        <w:ind w:firstLine="560" w:firstLineChars="200"/>
        <w:jc w:val="left"/>
        <w:rPr>
          <w:sz w:val="28"/>
          <w:highlight w:val="none"/>
        </w:rPr>
      </w:pPr>
      <w:r>
        <w:rPr>
          <w:rFonts w:hint="eastAsia"/>
          <w:sz w:val="28"/>
          <w:highlight w:val="none"/>
        </w:rPr>
        <w:t>3.7 楼板中预留的穿线管不应有大量集中的地方及相互交叉超过</w:t>
      </w:r>
      <w:r>
        <w:rPr>
          <w:sz w:val="28"/>
          <w:highlight w:val="none"/>
        </w:rPr>
        <w:t>3</w:t>
      </w:r>
      <w:r>
        <w:rPr>
          <w:rFonts w:hint="eastAsia"/>
          <w:sz w:val="28"/>
          <w:highlight w:val="none"/>
        </w:rPr>
        <w:t>层的情况，如有此情况应予以处理，防止砼开裂。</w:t>
      </w:r>
    </w:p>
    <w:p>
      <w:pPr>
        <w:adjustRightInd w:val="0"/>
        <w:snapToGrid w:val="0"/>
        <w:spacing w:line="360" w:lineRule="auto"/>
        <w:ind w:firstLine="560" w:firstLineChars="200"/>
        <w:jc w:val="left"/>
        <w:rPr>
          <w:sz w:val="28"/>
          <w:highlight w:val="none"/>
        </w:rPr>
      </w:pPr>
      <w:r>
        <w:rPr>
          <w:rFonts w:hint="eastAsia"/>
          <w:sz w:val="28"/>
          <w:highlight w:val="none"/>
        </w:rPr>
        <w:t>3.8 突出墙体外侧的悬挑构件如窗台板、窗式空调机盒及其它装饰挑檐应现浇，砼厚度如建筑没有要求，则结构要求经济；</w:t>
      </w:r>
    </w:p>
    <w:p>
      <w:pPr>
        <w:adjustRightInd w:val="0"/>
        <w:snapToGrid w:val="0"/>
        <w:spacing w:line="360" w:lineRule="auto"/>
        <w:ind w:firstLine="560" w:firstLineChars="200"/>
        <w:jc w:val="left"/>
        <w:rPr>
          <w:sz w:val="28"/>
          <w:highlight w:val="none"/>
        </w:rPr>
      </w:pPr>
      <w:r>
        <w:rPr>
          <w:rFonts w:hint="eastAsia"/>
          <w:sz w:val="28"/>
          <w:highlight w:val="none"/>
        </w:rPr>
        <w:t>3.9 尽量避免不必要的小梁、短梁的设置。</w:t>
      </w:r>
    </w:p>
    <w:p>
      <w:pPr>
        <w:adjustRightInd w:val="0"/>
        <w:snapToGrid w:val="0"/>
        <w:spacing w:line="360" w:lineRule="auto"/>
        <w:ind w:firstLine="560" w:firstLineChars="200"/>
        <w:jc w:val="left"/>
        <w:rPr>
          <w:sz w:val="28"/>
          <w:highlight w:val="none"/>
        </w:rPr>
      </w:pPr>
      <w:r>
        <w:rPr>
          <w:rFonts w:hint="eastAsia"/>
          <w:sz w:val="28"/>
          <w:highlight w:val="none"/>
        </w:rPr>
        <w:t>3.10 立柱或异形柱结构与墙体、梁的位置关系必须兼顾建筑外立面的美观和室内空间的充分利用，避免出现凸柱、凸梁和凹墙的情况。</w:t>
      </w:r>
    </w:p>
    <w:p>
      <w:pPr>
        <w:adjustRightInd w:val="0"/>
        <w:snapToGrid w:val="0"/>
        <w:spacing w:line="360" w:lineRule="auto"/>
        <w:ind w:firstLine="560" w:firstLineChars="200"/>
        <w:jc w:val="left"/>
        <w:rPr>
          <w:sz w:val="28"/>
          <w:highlight w:val="none"/>
        </w:rPr>
      </w:pPr>
      <w:bookmarkStart w:id="233" w:name="_Toc342057119"/>
      <w:bookmarkStart w:id="234" w:name="_Toc28716"/>
      <w:bookmarkStart w:id="235" w:name="_Toc61006902"/>
      <w:r>
        <w:rPr>
          <w:rFonts w:hint="eastAsia"/>
          <w:sz w:val="28"/>
          <w:highlight w:val="none"/>
        </w:rPr>
        <w:t>4、其它特殊要求</w:t>
      </w:r>
      <w:bookmarkEnd w:id="233"/>
      <w:bookmarkEnd w:id="234"/>
      <w:bookmarkEnd w:id="235"/>
    </w:p>
    <w:p>
      <w:pPr>
        <w:adjustRightInd w:val="0"/>
        <w:snapToGrid w:val="0"/>
        <w:spacing w:line="360" w:lineRule="auto"/>
        <w:ind w:firstLine="560" w:firstLineChars="200"/>
        <w:jc w:val="left"/>
        <w:rPr>
          <w:sz w:val="28"/>
          <w:highlight w:val="none"/>
        </w:rPr>
      </w:pPr>
      <w:r>
        <w:rPr>
          <w:rFonts w:hint="eastAsia"/>
          <w:sz w:val="28"/>
          <w:highlight w:val="none"/>
        </w:rPr>
        <w:t>4.1 楼梯栏杆、露台栏杆、阳台栏杆均采用预埋件方式连接固定。</w:t>
      </w:r>
    </w:p>
    <w:p>
      <w:pPr>
        <w:adjustRightInd w:val="0"/>
        <w:snapToGrid w:val="0"/>
        <w:spacing w:line="360" w:lineRule="auto"/>
        <w:ind w:firstLine="560" w:firstLineChars="200"/>
        <w:jc w:val="left"/>
        <w:rPr>
          <w:sz w:val="28"/>
          <w:highlight w:val="none"/>
        </w:rPr>
      </w:pPr>
      <w:r>
        <w:rPr>
          <w:rFonts w:hint="eastAsia"/>
          <w:sz w:val="28"/>
          <w:highlight w:val="none"/>
        </w:rPr>
        <w:t>4.2 可以利用后浇带调节混凝土收缩及基础早期沉降差的影响，但不能以此而减少计算温度影响、后期沉降及后期收缩等产生的应力，必须采取限制上述应力影响的措施。</w:t>
      </w:r>
    </w:p>
    <w:p>
      <w:pPr>
        <w:adjustRightInd w:val="0"/>
        <w:snapToGrid w:val="0"/>
        <w:spacing w:line="360" w:lineRule="auto"/>
        <w:ind w:firstLine="560" w:firstLineChars="200"/>
        <w:jc w:val="left"/>
        <w:rPr>
          <w:sz w:val="28"/>
          <w:highlight w:val="none"/>
        </w:rPr>
      </w:pPr>
      <w:r>
        <w:rPr>
          <w:rFonts w:hint="eastAsia"/>
          <w:sz w:val="28"/>
          <w:highlight w:val="none"/>
        </w:rPr>
        <w:t>4.3 外墙砌体与现浇结构交接处：外墙面应满铺钢丝网，抗裂砂浆打底、聚合物水泥砂浆分两次抹面；内墙应铺</w:t>
      </w:r>
      <w:r>
        <w:rPr>
          <w:sz w:val="28"/>
          <w:highlight w:val="none"/>
        </w:rPr>
        <w:t>400mm</w:t>
      </w:r>
      <w:r>
        <w:rPr>
          <w:rFonts w:hint="eastAsia"/>
          <w:sz w:val="28"/>
          <w:highlight w:val="none"/>
        </w:rPr>
        <w:t>宽钢丝网，普通混合砂浆打底。</w:t>
      </w:r>
    </w:p>
    <w:p>
      <w:pPr>
        <w:adjustRightInd w:val="0"/>
        <w:snapToGrid w:val="0"/>
        <w:spacing w:line="360" w:lineRule="auto"/>
        <w:ind w:firstLine="560" w:firstLineChars="200"/>
        <w:jc w:val="left"/>
        <w:rPr>
          <w:sz w:val="28"/>
          <w:highlight w:val="none"/>
        </w:rPr>
      </w:pPr>
      <w:r>
        <w:rPr>
          <w:rFonts w:hint="eastAsia"/>
          <w:sz w:val="28"/>
          <w:highlight w:val="none"/>
        </w:rPr>
        <w:t>4.4 防水渗漏措施：卫生间隔墙处做</w:t>
      </w:r>
      <w:r>
        <w:rPr>
          <w:sz w:val="28"/>
          <w:highlight w:val="none"/>
        </w:rPr>
        <w:t>200mm</w:t>
      </w:r>
      <w:r>
        <w:rPr>
          <w:rFonts w:hint="eastAsia"/>
          <w:sz w:val="28"/>
          <w:highlight w:val="none"/>
        </w:rPr>
        <w:t>高（梁面算起）素混凝土反槛，宽同墙宽且与梁板一起浇筑；卫生间内管道井壁做</w:t>
      </w:r>
      <w:r>
        <w:rPr>
          <w:sz w:val="28"/>
          <w:highlight w:val="none"/>
        </w:rPr>
        <w:t>200mm</w:t>
      </w:r>
      <w:r>
        <w:rPr>
          <w:rFonts w:hint="eastAsia"/>
          <w:sz w:val="28"/>
          <w:highlight w:val="none"/>
        </w:rPr>
        <w:t>高（结构面算起）素混凝土反槛，宽同墙宽且与梁板一起浇筑；出屋面和露台的墙体设置</w:t>
      </w:r>
      <w:r>
        <w:rPr>
          <w:sz w:val="28"/>
          <w:highlight w:val="none"/>
        </w:rPr>
        <w:t>150mm</w:t>
      </w:r>
      <w:r>
        <w:rPr>
          <w:rFonts w:hint="eastAsia"/>
          <w:sz w:val="28"/>
          <w:highlight w:val="none"/>
        </w:rPr>
        <w:t>高（屋面完成面开始算起）素混凝土反槛，宽同墙宽且与梁板一起浇筑；出屋面管道井壁设置</w:t>
      </w:r>
      <w:r>
        <w:rPr>
          <w:sz w:val="28"/>
          <w:highlight w:val="none"/>
        </w:rPr>
        <w:t>150mm</w:t>
      </w:r>
      <w:r>
        <w:rPr>
          <w:rFonts w:hint="eastAsia"/>
          <w:sz w:val="28"/>
          <w:highlight w:val="none"/>
        </w:rPr>
        <w:t>高（屋面完成面开始算起）素混凝土反槛。</w:t>
      </w:r>
    </w:p>
    <w:p>
      <w:pPr>
        <w:adjustRightInd w:val="0"/>
        <w:snapToGrid w:val="0"/>
        <w:spacing w:line="360" w:lineRule="auto"/>
        <w:ind w:firstLine="560" w:firstLineChars="200"/>
        <w:jc w:val="left"/>
        <w:rPr>
          <w:sz w:val="28"/>
          <w:highlight w:val="none"/>
        </w:rPr>
      </w:pPr>
      <w:r>
        <w:rPr>
          <w:rFonts w:hint="eastAsia"/>
          <w:sz w:val="28"/>
          <w:highlight w:val="none"/>
        </w:rPr>
        <w:t>4.5 构造柱、圈梁、过梁混凝土强度等级为</w:t>
      </w:r>
      <w:r>
        <w:rPr>
          <w:sz w:val="28"/>
          <w:highlight w:val="none"/>
        </w:rPr>
        <w:t>C20</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4.6 结构图上应明确各个专业预留和预埋的孔洞和埋件。</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36" w:name="_Toc342057120"/>
      <w:bookmarkStart w:id="237" w:name="_Toc61017645"/>
      <w:bookmarkStart w:id="238" w:name="_Toc212525160"/>
      <w:bookmarkStart w:id="239" w:name="_Toc61006903"/>
      <w:bookmarkStart w:id="240" w:name="_Toc212523929"/>
      <w:r>
        <w:rPr>
          <w:rFonts w:hint="eastAsia" w:asciiTheme="majorEastAsia" w:hAnsiTheme="majorEastAsia" w:eastAsiaTheme="majorEastAsia"/>
          <w:highlight w:val="none"/>
        </w:rPr>
        <w:t>二、结构设计管理</w:t>
      </w:r>
      <w:bookmarkEnd w:id="236"/>
      <w:bookmarkEnd w:id="237"/>
      <w:bookmarkEnd w:id="238"/>
      <w:bookmarkEnd w:id="239"/>
      <w:bookmarkEnd w:id="240"/>
    </w:p>
    <w:p>
      <w:pPr>
        <w:adjustRightInd w:val="0"/>
        <w:snapToGrid w:val="0"/>
        <w:spacing w:line="360" w:lineRule="auto"/>
        <w:ind w:firstLine="560" w:firstLineChars="200"/>
        <w:jc w:val="left"/>
        <w:rPr>
          <w:sz w:val="28"/>
          <w:highlight w:val="none"/>
        </w:rPr>
      </w:pPr>
      <w:r>
        <w:rPr>
          <w:rFonts w:hint="eastAsia"/>
          <w:sz w:val="28"/>
          <w:highlight w:val="none"/>
        </w:rPr>
        <w:t>1、设计之前应对设计任务书及投资公司设计指引认真研读，如有不同意见或更优意见应在施工图设计开展前充分与业主相关人员进行沟通反馈。</w:t>
      </w:r>
    </w:p>
    <w:p>
      <w:pPr>
        <w:adjustRightInd w:val="0"/>
        <w:snapToGrid w:val="0"/>
        <w:spacing w:line="360" w:lineRule="auto"/>
        <w:ind w:firstLine="560" w:firstLineChars="200"/>
        <w:jc w:val="left"/>
        <w:rPr>
          <w:sz w:val="28"/>
          <w:highlight w:val="none"/>
        </w:rPr>
      </w:pPr>
      <w:r>
        <w:rPr>
          <w:rFonts w:hint="eastAsia"/>
          <w:sz w:val="28"/>
          <w:highlight w:val="none"/>
        </w:rPr>
        <w:t>2、在设计之初，应针对结构计算参数确定、建筑的基础，主体结构选型、地基处理进行方案比较，并与业主相关技术人员进行交流沟通和反馈，必要时请专家进行论证。</w:t>
      </w:r>
    </w:p>
    <w:p>
      <w:pPr>
        <w:adjustRightInd w:val="0"/>
        <w:snapToGrid w:val="0"/>
        <w:spacing w:line="360" w:lineRule="auto"/>
        <w:ind w:firstLine="560" w:firstLineChars="200"/>
        <w:jc w:val="left"/>
        <w:rPr>
          <w:sz w:val="28"/>
          <w:highlight w:val="none"/>
        </w:rPr>
      </w:pPr>
      <w:r>
        <w:rPr>
          <w:rFonts w:hint="eastAsia"/>
          <w:sz w:val="28"/>
          <w:highlight w:val="none"/>
        </w:rPr>
        <w:t>3、结构的基础选型、地基处理、结构柱网及梁板布置，梁板基本尺寸等基础设计，要求做出</w:t>
      </w:r>
      <w:r>
        <w:rPr>
          <w:sz w:val="28"/>
          <w:highlight w:val="none"/>
        </w:rPr>
        <w:t>2</w:t>
      </w:r>
      <w:r>
        <w:rPr>
          <w:rFonts w:hint="eastAsia"/>
          <w:sz w:val="28"/>
          <w:highlight w:val="none"/>
        </w:rPr>
        <w:t>个以上的结构方案进行方案比较和优化。并通过有业主技术人员参加的专业论证会确认，选定合适的基础及地下室结构设计方案进行施工图设计。</w:t>
      </w:r>
    </w:p>
    <w:p>
      <w:pPr>
        <w:adjustRightInd w:val="0"/>
        <w:snapToGrid w:val="0"/>
        <w:spacing w:line="360" w:lineRule="auto"/>
        <w:ind w:firstLine="560" w:firstLineChars="200"/>
        <w:jc w:val="left"/>
        <w:rPr>
          <w:sz w:val="28"/>
          <w:highlight w:val="none"/>
        </w:rPr>
      </w:pPr>
      <w:r>
        <w:rPr>
          <w:rFonts w:hint="eastAsia"/>
          <w:sz w:val="28"/>
          <w:highlight w:val="none"/>
        </w:rPr>
        <w:t>4、结构布置方案完成，结构程序计算后，经调整基本满足规范要求的各项指标时，应及时向业主提供计算模型的电子文件。</w:t>
      </w:r>
    </w:p>
    <w:p>
      <w:pPr>
        <w:adjustRightInd w:val="0"/>
        <w:snapToGrid w:val="0"/>
        <w:spacing w:line="360" w:lineRule="auto"/>
        <w:ind w:firstLine="560" w:firstLineChars="200"/>
        <w:jc w:val="left"/>
        <w:rPr>
          <w:sz w:val="28"/>
          <w:highlight w:val="none"/>
        </w:rPr>
      </w:pPr>
      <w:r>
        <w:rPr>
          <w:rFonts w:hint="eastAsia"/>
          <w:sz w:val="28"/>
          <w:highlight w:val="none"/>
        </w:rPr>
        <w:t>5、在设计过程中，结构计算工作完成后应及时向业主提供以下计算成果：每层荷载图及梁、墙、柱、板配筋简图、柱底内力图。</w:t>
      </w:r>
    </w:p>
    <w:p>
      <w:pPr>
        <w:adjustRightInd w:val="0"/>
        <w:snapToGrid w:val="0"/>
        <w:spacing w:line="360" w:lineRule="auto"/>
        <w:ind w:firstLine="560" w:firstLineChars="200"/>
        <w:jc w:val="left"/>
        <w:rPr>
          <w:sz w:val="28"/>
          <w:highlight w:val="none"/>
        </w:rPr>
      </w:pPr>
      <w:r>
        <w:rPr>
          <w:rFonts w:hint="eastAsia"/>
          <w:sz w:val="28"/>
          <w:highlight w:val="none"/>
        </w:rPr>
        <w:t>6、为使施工图设计审查顺利通过，设计应提供采用空间结构计算模型计算结果，并符合抗震规范规定中相应的要求。</w:t>
      </w:r>
    </w:p>
    <w:p>
      <w:pPr>
        <w:adjustRightInd w:val="0"/>
        <w:snapToGrid w:val="0"/>
        <w:spacing w:line="360" w:lineRule="auto"/>
        <w:ind w:firstLine="560" w:firstLineChars="200"/>
        <w:jc w:val="left"/>
        <w:rPr>
          <w:sz w:val="28"/>
          <w:highlight w:val="none"/>
        </w:rPr>
      </w:pPr>
      <w:r>
        <w:rPr>
          <w:rFonts w:hint="eastAsia"/>
          <w:sz w:val="28"/>
          <w:highlight w:val="none"/>
        </w:rPr>
        <w:t>7、</w:t>
      </w:r>
      <w:r>
        <w:rPr>
          <w:sz w:val="28"/>
          <w:highlight w:val="none"/>
        </w:rPr>
        <w:t>“</w:t>
      </w:r>
      <w:r>
        <w:rPr>
          <w:rFonts w:hint="eastAsia"/>
          <w:sz w:val="28"/>
          <w:highlight w:val="none"/>
        </w:rPr>
        <w:t>三边</w:t>
      </w:r>
      <w:r>
        <w:rPr>
          <w:sz w:val="28"/>
          <w:highlight w:val="none"/>
        </w:rPr>
        <w:t>”</w:t>
      </w:r>
      <w:r>
        <w:rPr>
          <w:rFonts w:hint="eastAsia"/>
          <w:sz w:val="28"/>
          <w:highlight w:val="none"/>
        </w:rPr>
        <w:t>工程的荷载取值问题：</w:t>
      </w:r>
    </w:p>
    <w:p>
      <w:pPr>
        <w:adjustRightInd w:val="0"/>
        <w:snapToGrid w:val="0"/>
        <w:spacing w:line="360" w:lineRule="auto"/>
        <w:ind w:firstLine="560" w:firstLineChars="200"/>
        <w:jc w:val="left"/>
        <w:rPr>
          <w:sz w:val="28"/>
          <w:highlight w:val="none"/>
        </w:rPr>
      </w:pPr>
      <w:bookmarkStart w:id="241" w:name="_Toc61006904"/>
      <w:r>
        <w:rPr>
          <w:rFonts w:hint="eastAsia"/>
          <w:sz w:val="28"/>
          <w:highlight w:val="none"/>
        </w:rPr>
        <w:t>7.1 对于主题或者特色餐厅，施工图设计时厨房位置不能确定时，在设计基础时，按照餐厅的全部区域降低</w:t>
      </w:r>
      <w:r>
        <w:rPr>
          <w:sz w:val="28"/>
          <w:highlight w:val="none"/>
        </w:rPr>
        <w:t>300,</w:t>
      </w:r>
      <w:r>
        <w:rPr>
          <w:rFonts w:hint="eastAsia"/>
          <w:sz w:val="28"/>
          <w:highlight w:val="none"/>
        </w:rPr>
        <w:t>考虑用加气混凝土块填充后做面层的恒载，使用活荷载按照厨房采用。如果该区域楼层施工时仍未确定厨房位置，则按照以上方法降板和考虑活荷载，如果该区域楼层梁板施工前厨房位置确定，则按照具体的厨房位置确定降板区域和考虑填料荷载，其它用餐区域不考虑降板。</w:t>
      </w:r>
      <w:bookmarkEnd w:id="241"/>
    </w:p>
    <w:p>
      <w:pPr>
        <w:adjustRightInd w:val="0"/>
        <w:snapToGrid w:val="0"/>
        <w:spacing w:line="360" w:lineRule="auto"/>
        <w:ind w:firstLine="560" w:firstLineChars="200"/>
        <w:jc w:val="left"/>
        <w:rPr>
          <w:sz w:val="28"/>
          <w:highlight w:val="none"/>
        </w:rPr>
      </w:pPr>
      <w:bookmarkStart w:id="242" w:name="_Toc61006905"/>
      <w:r>
        <w:rPr>
          <w:rFonts w:hint="eastAsia"/>
          <w:sz w:val="28"/>
          <w:highlight w:val="none"/>
        </w:rPr>
        <w:t>7.2 对于商铺的小型餐饮，在招商确定小业主前，施工图设计又必须进行的条件下，可以适当预留厨房位置（稍微留大些），预留厨房区域不降板，今后采用垫高该区域解决厨房排水问题，或不垫高直接找坡设置地漏解决。该区域使用活荷载提高</w:t>
      </w:r>
      <w:r>
        <w:rPr>
          <w:sz w:val="28"/>
          <w:highlight w:val="none"/>
        </w:rPr>
        <w:t>2KN/</w:t>
      </w:r>
      <w:r>
        <w:rPr>
          <w:rFonts w:hint="eastAsia"/>
          <w:sz w:val="28"/>
          <w:highlight w:val="none"/>
        </w:rPr>
        <w:t>㎡。</w:t>
      </w:r>
      <w:bookmarkEnd w:id="242"/>
    </w:p>
    <w:p>
      <w:pPr>
        <w:adjustRightInd w:val="0"/>
        <w:snapToGrid w:val="0"/>
        <w:spacing w:line="360" w:lineRule="auto"/>
        <w:ind w:firstLine="560" w:firstLineChars="200"/>
        <w:jc w:val="left"/>
        <w:rPr>
          <w:sz w:val="28"/>
          <w:highlight w:val="none"/>
        </w:rPr>
      </w:pPr>
      <w:r>
        <w:rPr>
          <w:rFonts w:hint="eastAsia"/>
          <w:sz w:val="28"/>
          <w:highlight w:val="none"/>
        </w:rPr>
        <w:t>结构施工图正式出图前和出图后应向业主提供相应图纸电子文件，提供的次数和数量视项目具体情况在合同中确定。</w:t>
      </w:r>
    </w:p>
    <w:p>
      <w:pPr>
        <w:pStyle w:val="4"/>
        <w:numPr>
          <w:ilvl w:val="0"/>
          <w:numId w:val="0"/>
        </w:numPr>
        <w:adjustRightInd w:val="0"/>
        <w:snapToGrid w:val="0"/>
        <w:spacing w:before="0" w:after="0" w:line="300" w:lineRule="auto"/>
        <w:jc w:val="center"/>
        <w:rPr>
          <w:rFonts w:asciiTheme="majorEastAsia" w:hAnsiTheme="majorEastAsia" w:eastAsiaTheme="majorEastAsia"/>
          <w:sz w:val="36"/>
          <w:szCs w:val="36"/>
          <w:highlight w:val="none"/>
        </w:rPr>
      </w:pPr>
      <w:bookmarkStart w:id="243" w:name="_Toc61017646"/>
      <w:bookmarkStart w:id="244" w:name="_Toc61006906"/>
      <w:bookmarkStart w:id="245" w:name="_Toc342057121"/>
      <w:bookmarkStart w:id="246" w:name="_Toc342057126"/>
      <w:bookmarkStart w:id="247" w:name="_Toc61017648"/>
      <w:bookmarkStart w:id="248" w:name="_Toc61006910"/>
      <w:r>
        <w:rPr>
          <w:rFonts w:hint="eastAsia" w:asciiTheme="majorEastAsia" w:hAnsiTheme="majorEastAsia" w:eastAsiaTheme="majorEastAsia"/>
          <w:sz w:val="36"/>
          <w:szCs w:val="36"/>
          <w:highlight w:val="none"/>
        </w:rPr>
        <w:t>第五部分机电专业</w:t>
      </w:r>
      <w:bookmarkEnd w:id="243"/>
      <w:bookmarkEnd w:id="244"/>
    </w:p>
    <w:bookmarkEnd w:id="245"/>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49" w:name="_Toc61017647"/>
      <w:bookmarkStart w:id="250" w:name="_Toc61006907"/>
      <w:r>
        <w:rPr>
          <w:rFonts w:hint="eastAsia" w:asciiTheme="majorEastAsia" w:hAnsiTheme="majorEastAsia" w:eastAsiaTheme="majorEastAsia"/>
          <w:highlight w:val="none"/>
        </w:rPr>
        <w:t>一、电气部分</w:t>
      </w:r>
      <w:bookmarkEnd w:id="249"/>
      <w:bookmarkEnd w:id="250"/>
    </w:p>
    <w:p>
      <w:pPr>
        <w:adjustRightInd w:val="0"/>
        <w:snapToGrid w:val="0"/>
        <w:spacing w:line="360" w:lineRule="auto"/>
        <w:ind w:firstLine="560" w:firstLineChars="200"/>
        <w:jc w:val="left"/>
        <w:rPr>
          <w:sz w:val="28"/>
          <w:highlight w:val="none"/>
        </w:rPr>
      </w:pPr>
      <w:bookmarkStart w:id="251" w:name="_Toc61006908"/>
      <w:r>
        <w:rPr>
          <w:rFonts w:hint="eastAsia"/>
          <w:sz w:val="28"/>
          <w:highlight w:val="none"/>
        </w:rPr>
        <w:t>1、设计范围及指标</w:t>
      </w:r>
      <w:bookmarkEnd w:id="251"/>
    </w:p>
    <w:p>
      <w:pPr>
        <w:adjustRightInd w:val="0"/>
        <w:snapToGrid w:val="0"/>
        <w:spacing w:line="360" w:lineRule="auto"/>
        <w:ind w:firstLine="560" w:firstLineChars="200"/>
        <w:jc w:val="left"/>
        <w:rPr>
          <w:sz w:val="28"/>
          <w:highlight w:val="none"/>
        </w:rPr>
      </w:pPr>
      <w:r>
        <w:rPr>
          <w:rFonts w:hint="eastAsia"/>
          <w:sz w:val="28"/>
          <w:highlight w:val="none"/>
        </w:rPr>
        <w:t>1.1 设计范围</w:t>
      </w:r>
    </w:p>
    <w:p>
      <w:pPr>
        <w:adjustRightInd w:val="0"/>
        <w:snapToGrid w:val="0"/>
        <w:spacing w:line="360" w:lineRule="auto"/>
        <w:ind w:firstLine="560" w:firstLineChars="200"/>
        <w:jc w:val="left"/>
        <w:rPr>
          <w:sz w:val="28"/>
          <w:highlight w:val="none"/>
        </w:rPr>
      </w:pPr>
      <w:r>
        <w:rPr>
          <w:rFonts w:hint="eastAsia"/>
          <w:sz w:val="28"/>
          <w:highlight w:val="none"/>
        </w:rPr>
        <w:t>强电包括室外配电、设备配电等国家规定的设计范围进行设计，另外待二次装修电气设计完成后，应对配电系统进行核实并配合装修之需求对配电系统进行相应的设计调整。室外建筑夜景照明、室外景观环境照明，设计中预留电源，发包人另行委托设计。弱电系统暂定包括门禁（电梯部分）、电话、宽频网络、监控、紧急求助按钮等  。</w:t>
      </w:r>
    </w:p>
    <w:p>
      <w:pPr>
        <w:adjustRightInd w:val="0"/>
        <w:snapToGrid w:val="0"/>
        <w:spacing w:line="360" w:lineRule="auto"/>
        <w:ind w:firstLine="560" w:firstLineChars="200"/>
        <w:jc w:val="left"/>
        <w:rPr>
          <w:sz w:val="28"/>
          <w:highlight w:val="none"/>
        </w:rPr>
      </w:pPr>
      <w:r>
        <w:rPr>
          <w:rFonts w:hint="eastAsia"/>
          <w:sz w:val="28"/>
          <w:highlight w:val="none"/>
        </w:rPr>
        <w:t>1.2 设计指标</w:t>
      </w:r>
    </w:p>
    <w:p>
      <w:pPr>
        <w:adjustRightInd w:val="0"/>
        <w:snapToGrid w:val="0"/>
        <w:spacing w:line="360" w:lineRule="auto"/>
        <w:ind w:firstLine="560" w:firstLineChars="200"/>
        <w:jc w:val="left"/>
        <w:rPr>
          <w:sz w:val="28"/>
          <w:highlight w:val="none"/>
        </w:rPr>
      </w:pPr>
      <w:r>
        <w:rPr>
          <w:rFonts w:hint="eastAsia"/>
          <w:sz w:val="28"/>
          <w:highlight w:val="none"/>
        </w:rPr>
        <w:t>1.2.1 用电负荷</w:t>
      </w:r>
    </w:p>
    <w:p>
      <w:pPr>
        <w:adjustRightInd w:val="0"/>
        <w:snapToGrid w:val="0"/>
        <w:spacing w:line="360" w:lineRule="auto"/>
        <w:ind w:firstLine="560" w:firstLineChars="200"/>
        <w:jc w:val="left"/>
        <w:rPr>
          <w:sz w:val="28"/>
          <w:highlight w:val="none"/>
        </w:rPr>
      </w:pPr>
      <w:r>
        <w:rPr>
          <w:rFonts w:hint="eastAsia"/>
          <w:sz w:val="28"/>
          <w:highlight w:val="none"/>
        </w:rPr>
        <w:t>（1）应根据项目所在地电力部门要求和该地区居民用电习惯按不同的面积大小合理分类考虑；空调要求按面积考虑设备容量并有所预留。</w:t>
      </w:r>
    </w:p>
    <w:p>
      <w:pPr>
        <w:adjustRightInd w:val="0"/>
        <w:snapToGrid w:val="0"/>
        <w:spacing w:line="360" w:lineRule="auto"/>
        <w:ind w:firstLine="560" w:firstLineChars="200"/>
        <w:jc w:val="left"/>
        <w:rPr>
          <w:sz w:val="28"/>
          <w:highlight w:val="none"/>
        </w:rPr>
      </w:pPr>
      <w:r>
        <w:rPr>
          <w:rFonts w:hint="eastAsia"/>
          <w:sz w:val="28"/>
          <w:highlight w:val="none"/>
        </w:rPr>
        <w:t>（2）设计说明中要列出各用电的负荷等级（供配电设计依据），工程总负荷计算和分路负荷计算，配电系统的设计中，须标注出装接容量、平均功率因数、需用系数、计算容量、计算电流，其中计算电流是断路器及电缆的设计依据。发包人设计审核时要求乙方提供计算书。</w:t>
      </w:r>
    </w:p>
    <w:p>
      <w:pPr>
        <w:adjustRightInd w:val="0"/>
        <w:snapToGrid w:val="0"/>
        <w:spacing w:line="360" w:lineRule="auto"/>
        <w:ind w:firstLine="560" w:firstLineChars="200"/>
        <w:jc w:val="left"/>
        <w:rPr>
          <w:sz w:val="28"/>
          <w:highlight w:val="none"/>
        </w:rPr>
      </w:pPr>
      <w:r>
        <w:rPr>
          <w:rFonts w:hint="eastAsia"/>
          <w:sz w:val="28"/>
          <w:highlight w:val="none"/>
        </w:rPr>
        <w:t>1.2.2 负荷分配</w:t>
      </w:r>
    </w:p>
    <w:p>
      <w:pPr>
        <w:adjustRightInd w:val="0"/>
        <w:snapToGrid w:val="0"/>
        <w:spacing w:line="360" w:lineRule="auto"/>
        <w:ind w:firstLine="560" w:firstLineChars="200"/>
        <w:jc w:val="left"/>
        <w:rPr>
          <w:sz w:val="28"/>
          <w:highlight w:val="none"/>
        </w:rPr>
      </w:pPr>
      <w:r>
        <w:rPr>
          <w:rFonts w:hint="eastAsia"/>
          <w:sz w:val="28"/>
          <w:highlight w:val="none"/>
        </w:rPr>
        <w:t>（1）用电负荷取合理系数，适当提高商业用电的负荷容量。</w:t>
      </w:r>
    </w:p>
    <w:p>
      <w:pPr>
        <w:adjustRightInd w:val="0"/>
        <w:snapToGrid w:val="0"/>
        <w:spacing w:line="360" w:lineRule="auto"/>
        <w:ind w:firstLine="560" w:firstLineChars="200"/>
        <w:jc w:val="left"/>
        <w:rPr>
          <w:sz w:val="28"/>
          <w:highlight w:val="none"/>
        </w:rPr>
      </w:pPr>
      <w:r>
        <w:rPr>
          <w:rFonts w:hint="eastAsia"/>
          <w:sz w:val="28"/>
          <w:highlight w:val="none"/>
        </w:rPr>
        <w:t>（2）末端配电系统应详细注明用途和容量；例如商铺空调动力，地下车库排风机等。</w:t>
      </w:r>
    </w:p>
    <w:p>
      <w:pPr>
        <w:adjustRightInd w:val="0"/>
        <w:snapToGrid w:val="0"/>
        <w:spacing w:line="360" w:lineRule="auto"/>
        <w:ind w:firstLine="560" w:firstLineChars="200"/>
        <w:jc w:val="left"/>
        <w:rPr>
          <w:sz w:val="28"/>
          <w:highlight w:val="none"/>
        </w:rPr>
      </w:pPr>
      <w:r>
        <w:rPr>
          <w:rFonts w:hint="eastAsia"/>
          <w:sz w:val="28"/>
          <w:highlight w:val="none"/>
        </w:rPr>
        <w:t>1.2.3 弱电系统</w:t>
      </w:r>
    </w:p>
    <w:p>
      <w:pPr>
        <w:adjustRightInd w:val="0"/>
        <w:snapToGrid w:val="0"/>
        <w:spacing w:line="360" w:lineRule="auto"/>
        <w:ind w:firstLine="560" w:firstLineChars="200"/>
        <w:jc w:val="left"/>
        <w:rPr>
          <w:sz w:val="28"/>
          <w:highlight w:val="none"/>
        </w:rPr>
      </w:pPr>
      <w:r>
        <w:rPr>
          <w:rFonts w:hint="eastAsia"/>
          <w:sz w:val="28"/>
          <w:highlight w:val="none"/>
        </w:rPr>
        <w:t>具体系统由发包人招标选购，设计结合成本按营销及物业需求而定，重点考虑井内到层位置布置和地下室弱电管网。</w:t>
      </w:r>
    </w:p>
    <w:p>
      <w:pPr>
        <w:adjustRightInd w:val="0"/>
        <w:snapToGrid w:val="0"/>
        <w:spacing w:line="360" w:lineRule="auto"/>
        <w:ind w:firstLine="560" w:firstLineChars="200"/>
        <w:jc w:val="left"/>
        <w:rPr>
          <w:sz w:val="28"/>
          <w:highlight w:val="none"/>
        </w:rPr>
      </w:pPr>
      <w:bookmarkStart w:id="252" w:name="_Toc61006909"/>
      <w:r>
        <w:rPr>
          <w:rFonts w:hint="eastAsia"/>
          <w:sz w:val="28"/>
          <w:highlight w:val="none"/>
        </w:rPr>
        <w:t>2、设计注意事项及习惯做法</w:t>
      </w:r>
      <w:bookmarkEnd w:id="252"/>
    </w:p>
    <w:p>
      <w:pPr>
        <w:adjustRightInd w:val="0"/>
        <w:snapToGrid w:val="0"/>
        <w:spacing w:line="360" w:lineRule="auto"/>
        <w:ind w:firstLine="560" w:firstLineChars="200"/>
        <w:jc w:val="left"/>
        <w:rPr>
          <w:sz w:val="28"/>
          <w:highlight w:val="none"/>
        </w:rPr>
      </w:pPr>
      <w:r>
        <w:rPr>
          <w:rFonts w:hint="eastAsia"/>
          <w:sz w:val="28"/>
          <w:highlight w:val="none"/>
        </w:rPr>
        <w:t>2.1 供电系统</w:t>
      </w:r>
    </w:p>
    <w:p>
      <w:pPr>
        <w:adjustRightInd w:val="0"/>
        <w:snapToGrid w:val="0"/>
        <w:spacing w:line="360" w:lineRule="auto"/>
        <w:ind w:firstLine="560" w:firstLineChars="200"/>
        <w:jc w:val="left"/>
        <w:rPr>
          <w:sz w:val="28"/>
          <w:highlight w:val="none"/>
        </w:rPr>
      </w:pPr>
      <w:r>
        <w:rPr>
          <w:rFonts w:hint="eastAsia"/>
          <w:sz w:val="28"/>
          <w:highlight w:val="none"/>
        </w:rPr>
        <w:t>2.1.1 整个配电系统要求按功能划分，各变压器负荷均匀，有条件时，考虑各段母线均可联络（可多设一两台联络柜），保证供电的可靠性。</w:t>
      </w:r>
    </w:p>
    <w:p>
      <w:pPr>
        <w:adjustRightInd w:val="0"/>
        <w:snapToGrid w:val="0"/>
        <w:spacing w:line="360" w:lineRule="auto"/>
        <w:ind w:firstLine="560" w:firstLineChars="200"/>
        <w:jc w:val="left"/>
        <w:rPr>
          <w:sz w:val="28"/>
          <w:highlight w:val="none"/>
        </w:rPr>
      </w:pPr>
      <w:r>
        <w:rPr>
          <w:rFonts w:hint="eastAsia"/>
          <w:sz w:val="28"/>
          <w:highlight w:val="none"/>
        </w:rPr>
        <w:t>2.1.2 高、低压配电室中要留出二台位置备用柜的位置，以便由于最终设备定货与设计不符时可进行调整，设计中应用细虚线将备用柜的位置表示出来。</w:t>
      </w:r>
    </w:p>
    <w:p>
      <w:pPr>
        <w:adjustRightInd w:val="0"/>
        <w:snapToGrid w:val="0"/>
        <w:spacing w:line="360" w:lineRule="auto"/>
        <w:ind w:firstLine="560" w:firstLineChars="200"/>
        <w:jc w:val="left"/>
        <w:rPr>
          <w:sz w:val="28"/>
          <w:highlight w:val="none"/>
        </w:rPr>
      </w:pPr>
      <w:r>
        <w:rPr>
          <w:rFonts w:hint="eastAsia"/>
          <w:sz w:val="28"/>
          <w:highlight w:val="none"/>
        </w:rPr>
        <w:t>2.1.3 高、低压配电室的位置应避免伸缩缝、沉降缝等位置。</w:t>
      </w:r>
    </w:p>
    <w:p>
      <w:pPr>
        <w:adjustRightInd w:val="0"/>
        <w:snapToGrid w:val="0"/>
        <w:spacing w:line="360" w:lineRule="auto"/>
        <w:ind w:firstLine="560" w:firstLineChars="200"/>
        <w:jc w:val="left"/>
        <w:rPr>
          <w:sz w:val="28"/>
          <w:highlight w:val="none"/>
        </w:rPr>
      </w:pPr>
      <w:r>
        <w:rPr>
          <w:rFonts w:hint="eastAsia"/>
          <w:sz w:val="28"/>
          <w:highlight w:val="none"/>
        </w:rPr>
        <w:t>2.1.4 变配电室至少有一个通向室外、公共走廊或楼梯间的出口，高压配电室与值班室直通或经过通道相通，值班室应有直接通向户外或通向走道的门，高、低压配电室内各种通道的最小宽度应满足规范要求。</w:t>
      </w:r>
    </w:p>
    <w:p>
      <w:pPr>
        <w:adjustRightInd w:val="0"/>
        <w:snapToGrid w:val="0"/>
        <w:spacing w:line="360" w:lineRule="auto"/>
        <w:ind w:firstLine="560" w:firstLineChars="200"/>
        <w:jc w:val="left"/>
        <w:rPr>
          <w:sz w:val="28"/>
          <w:highlight w:val="none"/>
        </w:rPr>
      </w:pPr>
      <w:r>
        <w:rPr>
          <w:rFonts w:hint="eastAsia"/>
          <w:sz w:val="28"/>
          <w:highlight w:val="none"/>
        </w:rPr>
        <w:t>2.1.5 变配电房室内地面标高应比室外地面高</w:t>
      </w:r>
      <w:r>
        <w:rPr>
          <w:sz w:val="28"/>
          <w:highlight w:val="none"/>
        </w:rPr>
        <w:t xml:space="preserve"> 100~300mm</w:t>
      </w:r>
      <w:r>
        <w:rPr>
          <w:rFonts w:hint="eastAsia"/>
          <w:sz w:val="28"/>
          <w:highlight w:val="none"/>
        </w:rPr>
        <w:t>，变配电房应设挡鼠板，门应往外开启。</w:t>
      </w:r>
    </w:p>
    <w:p>
      <w:pPr>
        <w:adjustRightInd w:val="0"/>
        <w:snapToGrid w:val="0"/>
        <w:spacing w:line="360" w:lineRule="auto"/>
        <w:ind w:firstLine="560" w:firstLineChars="200"/>
        <w:jc w:val="left"/>
        <w:rPr>
          <w:sz w:val="28"/>
          <w:highlight w:val="none"/>
        </w:rPr>
      </w:pPr>
      <w:r>
        <w:rPr>
          <w:rFonts w:hint="eastAsia"/>
          <w:sz w:val="28"/>
          <w:highlight w:val="none"/>
        </w:rPr>
        <w:t>2.1.6 低压配电柜的设计中应尽量按负荷等级、用途来布置盘面；即消防应急电源回路尽量置于一个配电柜中；各业态的供电系统中，应尽量将室外照明及户外广告的配电回路集中在一个低压配电柜中；其余应按用途及各自业态安排配电柜。</w:t>
      </w:r>
    </w:p>
    <w:p>
      <w:pPr>
        <w:adjustRightInd w:val="0"/>
        <w:snapToGrid w:val="0"/>
        <w:spacing w:line="360" w:lineRule="auto"/>
        <w:ind w:firstLine="560" w:firstLineChars="200"/>
        <w:jc w:val="left"/>
        <w:rPr>
          <w:sz w:val="28"/>
          <w:highlight w:val="none"/>
        </w:rPr>
      </w:pPr>
      <w:r>
        <w:rPr>
          <w:rFonts w:hint="eastAsia"/>
          <w:sz w:val="28"/>
          <w:highlight w:val="none"/>
        </w:rPr>
        <w:t>2.1.7 应预留足够的备用回路，各分馈电回路应按按用途加设计量。</w:t>
      </w:r>
    </w:p>
    <w:p>
      <w:pPr>
        <w:adjustRightInd w:val="0"/>
        <w:snapToGrid w:val="0"/>
        <w:spacing w:line="360" w:lineRule="auto"/>
        <w:ind w:firstLine="560" w:firstLineChars="200"/>
        <w:jc w:val="left"/>
        <w:rPr>
          <w:sz w:val="28"/>
          <w:highlight w:val="none"/>
        </w:rPr>
      </w:pPr>
      <w:r>
        <w:rPr>
          <w:rFonts w:hint="eastAsia"/>
          <w:sz w:val="28"/>
          <w:highlight w:val="none"/>
        </w:rPr>
        <w:t>2.1.8 变配电所应设置所用双电源切换配电箱供变电所所用电，电源引自低压配电柜不同的二段母线（35kV变电所取自所用变）。</w:t>
      </w:r>
    </w:p>
    <w:p>
      <w:pPr>
        <w:adjustRightInd w:val="0"/>
        <w:snapToGrid w:val="0"/>
        <w:spacing w:line="360" w:lineRule="auto"/>
        <w:ind w:firstLine="560" w:firstLineChars="200"/>
        <w:jc w:val="left"/>
        <w:rPr>
          <w:sz w:val="28"/>
          <w:highlight w:val="none"/>
        </w:rPr>
      </w:pPr>
      <w:r>
        <w:rPr>
          <w:rFonts w:hint="eastAsia"/>
          <w:sz w:val="28"/>
          <w:highlight w:val="none"/>
        </w:rPr>
        <w:t>2.1.9 高压供电系统的设计要满足业主方同供电部门签署的相关协议，并应符合供电部门关于继电保护（含零序保护）、操作电源、计量方式、设备选型。</w:t>
      </w:r>
    </w:p>
    <w:p>
      <w:pPr>
        <w:adjustRightInd w:val="0"/>
        <w:snapToGrid w:val="0"/>
        <w:spacing w:line="360" w:lineRule="auto"/>
        <w:ind w:firstLine="560" w:firstLineChars="200"/>
        <w:jc w:val="left"/>
        <w:rPr>
          <w:sz w:val="28"/>
          <w:highlight w:val="none"/>
        </w:rPr>
      </w:pPr>
      <w:r>
        <w:rPr>
          <w:rFonts w:hint="eastAsia"/>
          <w:sz w:val="28"/>
          <w:highlight w:val="none"/>
        </w:rPr>
        <w:t>2.1.10 设计中供配电务必分清业态，严格区分本次工程设计和二次装修设计，见后述（供配电界面）。</w:t>
      </w:r>
      <w:r>
        <w:rPr>
          <w:sz w:val="28"/>
          <w:highlight w:val="none"/>
        </w:rPr>
        <w:t xml:space="preserve"> </w:t>
      </w:r>
    </w:p>
    <w:p>
      <w:pPr>
        <w:adjustRightInd w:val="0"/>
        <w:snapToGrid w:val="0"/>
        <w:spacing w:line="360" w:lineRule="auto"/>
        <w:ind w:firstLine="560" w:firstLineChars="200"/>
        <w:jc w:val="left"/>
        <w:rPr>
          <w:sz w:val="28"/>
          <w:highlight w:val="none"/>
        </w:rPr>
      </w:pPr>
      <w:r>
        <w:rPr>
          <w:rFonts w:hint="eastAsia"/>
          <w:sz w:val="28"/>
          <w:highlight w:val="none"/>
        </w:rPr>
        <w:t>2.1.11 要求详细绘制配电柜联络母线及其电缆出线平面图，详细标注线槽尺寸和安装高度。</w:t>
      </w:r>
    </w:p>
    <w:p>
      <w:pPr>
        <w:adjustRightInd w:val="0"/>
        <w:snapToGrid w:val="0"/>
        <w:spacing w:line="360" w:lineRule="auto"/>
        <w:ind w:firstLine="560" w:firstLineChars="200"/>
        <w:jc w:val="left"/>
        <w:rPr>
          <w:sz w:val="28"/>
          <w:highlight w:val="none"/>
        </w:rPr>
      </w:pPr>
      <w:r>
        <w:rPr>
          <w:rFonts w:hint="eastAsia"/>
          <w:sz w:val="28"/>
          <w:highlight w:val="none"/>
        </w:rPr>
        <w:t>2.1.12 变配电房平面布置，应尽量使变压器至低压柜的密集型母线最短及避免母线之间的交叉。</w:t>
      </w:r>
    </w:p>
    <w:p>
      <w:pPr>
        <w:adjustRightInd w:val="0"/>
        <w:snapToGrid w:val="0"/>
        <w:spacing w:line="360" w:lineRule="auto"/>
        <w:ind w:firstLine="560" w:firstLineChars="200"/>
        <w:jc w:val="left"/>
        <w:rPr>
          <w:sz w:val="28"/>
          <w:highlight w:val="none"/>
        </w:rPr>
      </w:pPr>
      <w:r>
        <w:rPr>
          <w:rFonts w:hint="eastAsia"/>
          <w:sz w:val="28"/>
          <w:highlight w:val="none"/>
        </w:rPr>
        <w:t>2.1.13根据《</w:t>
      </w:r>
      <w:r>
        <w:rPr>
          <w:sz w:val="28"/>
          <w:highlight w:val="none"/>
        </w:rPr>
        <w:t>20KV</w:t>
      </w:r>
      <w:r>
        <w:rPr>
          <w:rFonts w:hint="eastAsia"/>
          <w:sz w:val="28"/>
          <w:highlight w:val="none"/>
        </w:rPr>
        <w:t>及以下变电所设计规范</w:t>
      </w:r>
      <w:r>
        <w:rPr>
          <w:sz w:val="28"/>
          <w:highlight w:val="none"/>
        </w:rPr>
        <w:t xml:space="preserve"> GB50053-2013</w:t>
      </w:r>
      <w:r>
        <w:rPr>
          <w:rFonts w:hint="eastAsia"/>
          <w:sz w:val="28"/>
          <w:highlight w:val="none"/>
        </w:rPr>
        <w:t>》</w:t>
      </w:r>
      <w:r>
        <w:rPr>
          <w:sz w:val="28"/>
          <w:highlight w:val="none"/>
        </w:rPr>
        <w:t xml:space="preserve">3. 2. 7 </w:t>
      </w:r>
      <w:r>
        <w:rPr>
          <w:rFonts w:hint="eastAsia"/>
          <w:sz w:val="28"/>
          <w:highlight w:val="none"/>
        </w:rPr>
        <w:t>配电所的引出线宜装设断路器。当满足继电保护和操作要求时，也可装设负荷开关一熔断器组合电器。</w:t>
      </w:r>
    </w:p>
    <w:p>
      <w:pPr>
        <w:adjustRightInd w:val="0"/>
        <w:snapToGrid w:val="0"/>
        <w:spacing w:line="360" w:lineRule="auto"/>
        <w:ind w:firstLine="560" w:firstLineChars="200"/>
        <w:jc w:val="left"/>
        <w:rPr>
          <w:sz w:val="28"/>
          <w:highlight w:val="none"/>
        </w:rPr>
      </w:pPr>
      <w:r>
        <w:rPr>
          <w:rFonts w:hint="eastAsia"/>
          <w:sz w:val="28"/>
          <w:highlight w:val="none"/>
        </w:rPr>
        <w:t>2.1.14 所选电器的额定电压、额定电流、额定频率、变电所低压配电柜出线断路器遮断能力应符合</w:t>
      </w:r>
      <w:r>
        <w:rPr>
          <w:sz w:val="28"/>
          <w:highlight w:val="none"/>
        </w:rPr>
        <w:t>GB 50054-95第2.1.1条规定；10kV/0.4kV变压器抽头选为±2×2.5%；在末端配电控制箱中，特别注意不可无节制地提高断路器的分断能力，应按预期末端短路电流的大小尽量选用6～10kA分断能力的微型断路器（Icu对断路器的价格有很大影响）。</w:t>
      </w:r>
    </w:p>
    <w:p>
      <w:pPr>
        <w:adjustRightInd w:val="0"/>
        <w:snapToGrid w:val="0"/>
        <w:spacing w:line="360" w:lineRule="auto"/>
        <w:ind w:firstLine="560" w:firstLineChars="200"/>
        <w:jc w:val="left"/>
        <w:rPr>
          <w:sz w:val="28"/>
          <w:highlight w:val="none"/>
        </w:rPr>
      </w:pPr>
      <w:r>
        <w:rPr>
          <w:rFonts w:hint="eastAsia"/>
          <w:sz w:val="28"/>
          <w:highlight w:val="none"/>
        </w:rPr>
        <w:t>2.2 电工计量</w:t>
      </w:r>
    </w:p>
    <w:p>
      <w:pPr>
        <w:adjustRightInd w:val="0"/>
        <w:snapToGrid w:val="0"/>
        <w:spacing w:line="360" w:lineRule="auto"/>
        <w:ind w:firstLine="560" w:firstLineChars="200"/>
        <w:jc w:val="left"/>
        <w:rPr>
          <w:sz w:val="28"/>
          <w:highlight w:val="none"/>
        </w:rPr>
      </w:pPr>
      <w:r>
        <w:rPr>
          <w:rFonts w:hint="eastAsia"/>
          <w:sz w:val="28"/>
          <w:highlight w:val="none"/>
        </w:rPr>
        <w:t>2.2.1 下列回路应设置电流测量仪表：</w:t>
      </w:r>
    </w:p>
    <w:p>
      <w:pPr>
        <w:adjustRightInd w:val="0"/>
        <w:snapToGrid w:val="0"/>
        <w:spacing w:line="360" w:lineRule="auto"/>
        <w:ind w:firstLine="560" w:firstLineChars="200"/>
        <w:jc w:val="left"/>
        <w:rPr>
          <w:sz w:val="28"/>
          <w:highlight w:val="none"/>
        </w:rPr>
      </w:pPr>
      <w:r>
        <w:rPr>
          <w:rFonts w:hint="eastAsia"/>
          <w:sz w:val="28"/>
          <w:highlight w:val="none"/>
        </w:rPr>
        <w:t>（1）变压器回路</w:t>
      </w:r>
    </w:p>
    <w:p>
      <w:pPr>
        <w:adjustRightInd w:val="0"/>
        <w:snapToGrid w:val="0"/>
        <w:spacing w:line="360" w:lineRule="auto"/>
        <w:ind w:firstLine="560" w:firstLineChars="200"/>
        <w:jc w:val="left"/>
        <w:rPr>
          <w:sz w:val="28"/>
          <w:highlight w:val="none"/>
        </w:rPr>
      </w:pPr>
      <w:r>
        <w:rPr>
          <w:rFonts w:hint="eastAsia"/>
          <w:sz w:val="28"/>
          <w:highlight w:val="none"/>
        </w:rPr>
        <w:t>（2）变电所低压柜出线，低压母联柜需设置电流表。三相电流基本平衡的电力装置回路，可以只测量一相电流；但下列电力装置回路，应采用三只电流表测量三相电流。</w:t>
      </w:r>
    </w:p>
    <w:p>
      <w:pPr>
        <w:adjustRightInd w:val="0"/>
        <w:snapToGrid w:val="0"/>
        <w:spacing w:line="360" w:lineRule="auto"/>
        <w:ind w:firstLine="560" w:firstLineChars="200"/>
        <w:jc w:val="left"/>
        <w:rPr>
          <w:sz w:val="28"/>
          <w:highlight w:val="none"/>
        </w:rPr>
      </w:pPr>
      <w:r>
        <w:rPr>
          <w:rFonts w:hint="eastAsia"/>
          <w:sz w:val="28"/>
          <w:highlight w:val="none"/>
        </w:rPr>
        <w:t>（3）无功补偿回路（电容补偿柜）。</w:t>
      </w:r>
    </w:p>
    <w:p>
      <w:pPr>
        <w:adjustRightInd w:val="0"/>
        <w:snapToGrid w:val="0"/>
        <w:spacing w:line="360" w:lineRule="auto"/>
        <w:ind w:firstLine="560" w:firstLineChars="200"/>
        <w:jc w:val="left"/>
        <w:rPr>
          <w:sz w:val="28"/>
          <w:highlight w:val="none"/>
        </w:rPr>
      </w:pPr>
      <w:r>
        <w:rPr>
          <w:rFonts w:hint="eastAsia"/>
          <w:sz w:val="28"/>
          <w:highlight w:val="none"/>
        </w:rPr>
        <w:t>（4）单相负荷占总负荷15%以上的0.4kV配电回路。</w:t>
      </w:r>
    </w:p>
    <w:p>
      <w:pPr>
        <w:adjustRightInd w:val="0"/>
        <w:snapToGrid w:val="0"/>
        <w:spacing w:line="360" w:lineRule="auto"/>
        <w:ind w:firstLine="560" w:firstLineChars="200"/>
        <w:jc w:val="left"/>
        <w:rPr>
          <w:sz w:val="28"/>
          <w:highlight w:val="none"/>
        </w:rPr>
      </w:pPr>
      <w:r>
        <w:rPr>
          <w:rFonts w:hint="eastAsia"/>
          <w:sz w:val="28"/>
          <w:highlight w:val="none"/>
        </w:rPr>
        <w:t>（5）电能计量用电流互感器的一次侧电流，在正常最大负荷运行时（备用回路除外），应尽量为其额定电流的2/3以上。</w:t>
      </w:r>
    </w:p>
    <w:p>
      <w:pPr>
        <w:adjustRightInd w:val="0"/>
        <w:snapToGrid w:val="0"/>
        <w:spacing w:line="360" w:lineRule="auto"/>
        <w:ind w:firstLine="560" w:firstLineChars="200"/>
        <w:jc w:val="left"/>
        <w:rPr>
          <w:sz w:val="28"/>
          <w:highlight w:val="none"/>
        </w:rPr>
      </w:pPr>
      <w:r>
        <w:rPr>
          <w:rFonts w:hint="eastAsia"/>
          <w:sz w:val="28"/>
          <w:highlight w:val="none"/>
        </w:rPr>
        <w:t>（6）底层、动力、非居照明、非普动力应分别设置低压计量总表。总表下各户设分表。</w:t>
      </w:r>
    </w:p>
    <w:p>
      <w:pPr>
        <w:adjustRightInd w:val="0"/>
        <w:snapToGrid w:val="0"/>
        <w:spacing w:line="360" w:lineRule="auto"/>
        <w:ind w:firstLine="560" w:firstLineChars="200"/>
        <w:jc w:val="left"/>
        <w:rPr>
          <w:sz w:val="28"/>
          <w:highlight w:val="none"/>
        </w:rPr>
      </w:pPr>
      <w:r>
        <w:rPr>
          <w:rFonts w:hint="eastAsia"/>
          <w:sz w:val="28"/>
          <w:highlight w:val="none"/>
        </w:rPr>
        <w:t>2.2.2 当电梯、扶梯为二种及以上的业态共用时，应设置计量。</w:t>
      </w:r>
    </w:p>
    <w:p>
      <w:pPr>
        <w:adjustRightInd w:val="0"/>
        <w:snapToGrid w:val="0"/>
        <w:spacing w:line="360" w:lineRule="auto"/>
        <w:ind w:firstLine="560" w:firstLineChars="200"/>
        <w:jc w:val="left"/>
        <w:rPr>
          <w:sz w:val="28"/>
          <w:highlight w:val="none"/>
        </w:rPr>
      </w:pPr>
      <w:r>
        <w:rPr>
          <w:rFonts w:hint="eastAsia"/>
          <w:sz w:val="28"/>
          <w:highlight w:val="none"/>
        </w:rPr>
        <w:t>（1）不同业态的机电设备系统应相互独立，并独立计量，避免造成营运期间管理界面混乱，给设施设备维护保养工作带来困难；</w:t>
      </w:r>
    </w:p>
    <w:p>
      <w:pPr>
        <w:adjustRightInd w:val="0"/>
        <w:snapToGrid w:val="0"/>
        <w:spacing w:line="360" w:lineRule="auto"/>
        <w:ind w:firstLine="560" w:firstLineChars="200"/>
        <w:jc w:val="left"/>
        <w:rPr>
          <w:sz w:val="28"/>
          <w:highlight w:val="none"/>
        </w:rPr>
      </w:pPr>
      <w:r>
        <w:rPr>
          <w:rFonts w:hint="eastAsia"/>
          <w:sz w:val="28"/>
          <w:highlight w:val="none"/>
        </w:rPr>
        <w:t>（2）为便于今后实际运营中对日常能耗进行统计、管理，各设备机房均需增加独立电表，例如：水泵房等；</w:t>
      </w:r>
    </w:p>
    <w:p>
      <w:pPr>
        <w:adjustRightInd w:val="0"/>
        <w:snapToGrid w:val="0"/>
        <w:spacing w:line="360" w:lineRule="auto"/>
        <w:ind w:firstLine="560" w:firstLineChars="200"/>
        <w:jc w:val="left"/>
        <w:rPr>
          <w:sz w:val="28"/>
          <w:highlight w:val="none"/>
        </w:rPr>
      </w:pPr>
      <w:r>
        <w:rPr>
          <w:rFonts w:hint="eastAsia"/>
          <w:sz w:val="28"/>
          <w:highlight w:val="none"/>
        </w:rPr>
        <w:t>（3）低压主接线图各相关低压出线柜分别设置户外广告和景观照明、泛光照明应分别设置单独回路，单独计量，在相应屋面或楼层预留外墙广告、景观照明用配电箱；</w:t>
      </w:r>
    </w:p>
    <w:p>
      <w:pPr>
        <w:adjustRightInd w:val="0"/>
        <w:snapToGrid w:val="0"/>
        <w:spacing w:line="360" w:lineRule="auto"/>
        <w:ind w:firstLine="560" w:firstLineChars="200"/>
        <w:jc w:val="left"/>
        <w:rPr>
          <w:sz w:val="28"/>
          <w:highlight w:val="none"/>
        </w:rPr>
      </w:pPr>
      <w:r>
        <w:rPr>
          <w:rFonts w:hint="eastAsia"/>
          <w:sz w:val="28"/>
          <w:highlight w:val="none"/>
        </w:rPr>
        <w:t>2.3  0.4kV配电系统</w:t>
      </w:r>
    </w:p>
    <w:p>
      <w:pPr>
        <w:adjustRightInd w:val="0"/>
        <w:snapToGrid w:val="0"/>
        <w:spacing w:line="360" w:lineRule="auto"/>
        <w:ind w:firstLine="560" w:firstLineChars="200"/>
        <w:jc w:val="left"/>
        <w:rPr>
          <w:sz w:val="28"/>
          <w:highlight w:val="none"/>
        </w:rPr>
      </w:pPr>
      <w:r>
        <w:rPr>
          <w:rFonts w:hint="eastAsia"/>
          <w:sz w:val="28"/>
          <w:highlight w:val="none"/>
        </w:rPr>
        <w:t>2.31  一般动力设计按下述分类：</w:t>
      </w:r>
      <w:r>
        <w:rPr>
          <w:rFonts w:hint="eastAsia"/>
          <w:sz w:val="28"/>
          <w:highlight w:val="none"/>
        </w:rPr>
        <w:br w:type="textWrapping"/>
      </w:r>
    </w:p>
    <w:p>
      <w:pPr>
        <w:adjustRightInd w:val="0"/>
        <w:snapToGrid w:val="0"/>
        <w:spacing w:line="360" w:lineRule="auto"/>
        <w:ind w:firstLine="560" w:firstLineChars="200"/>
        <w:jc w:val="left"/>
        <w:rPr>
          <w:sz w:val="28"/>
          <w:highlight w:val="none"/>
        </w:rPr>
      </w:pPr>
      <w:r>
        <w:rPr>
          <w:rFonts w:hint="eastAsia"/>
          <w:sz w:val="28"/>
          <w:highlight w:val="none"/>
        </w:rPr>
        <w:t>（1）自动扶梯。</w:t>
      </w:r>
    </w:p>
    <w:p>
      <w:pPr>
        <w:adjustRightInd w:val="0"/>
        <w:snapToGrid w:val="0"/>
        <w:spacing w:line="360" w:lineRule="auto"/>
        <w:ind w:firstLine="560" w:firstLineChars="200"/>
        <w:jc w:val="left"/>
        <w:rPr>
          <w:sz w:val="28"/>
          <w:highlight w:val="none"/>
        </w:rPr>
      </w:pPr>
      <w:r>
        <w:rPr>
          <w:rFonts w:hint="eastAsia"/>
          <w:sz w:val="28"/>
          <w:highlight w:val="none"/>
        </w:rPr>
        <w:t>（2）一般客梯与货梯。</w:t>
      </w:r>
    </w:p>
    <w:p>
      <w:pPr>
        <w:adjustRightInd w:val="0"/>
        <w:snapToGrid w:val="0"/>
        <w:spacing w:line="360" w:lineRule="auto"/>
        <w:ind w:firstLine="560" w:firstLineChars="200"/>
        <w:jc w:val="left"/>
        <w:rPr>
          <w:sz w:val="28"/>
          <w:highlight w:val="none"/>
        </w:rPr>
      </w:pPr>
      <w:r>
        <w:rPr>
          <w:rFonts w:hint="eastAsia"/>
          <w:sz w:val="28"/>
          <w:highlight w:val="none"/>
        </w:rPr>
        <w:t>（3）一般的送风机和排风机用电。</w:t>
      </w:r>
    </w:p>
    <w:p>
      <w:pPr>
        <w:adjustRightInd w:val="0"/>
        <w:snapToGrid w:val="0"/>
        <w:spacing w:line="360" w:lineRule="auto"/>
        <w:ind w:firstLine="560" w:firstLineChars="200"/>
        <w:jc w:val="left"/>
        <w:rPr>
          <w:sz w:val="28"/>
          <w:highlight w:val="none"/>
        </w:rPr>
      </w:pPr>
      <w:r>
        <w:rPr>
          <w:rFonts w:hint="eastAsia"/>
          <w:sz w:val="28"/>
          <w:highlight w:val="none"/>
        </w:rPr>
        <w:t>（4） 生活水泵。项目求证水压力。</w:t>
      </w:r>
    </w:p>
    <w:p>
      <w:pPr>
        <w:adjustRightInd w:val="0"/>
        <w:snapToGrid w:val="0"/>
        <w:spacing w:line="360" w:lineRule="auto"/>
        <w:ind w:firstLine="560" w:firstLineChars="200"/>
        <w:jc w:val="left"/>
        <w:rPr>
          <w:sz w:val="28"/>
          <w:highlight w:val="none"/>
        </w:rPr>
      </w:pPr>
      <w:r>
        <w:rPr>
          <w:rFonts w:hint="eastAsia"/>
          <w:sz w:val="28"/>
          <w:highlight w:val="none"/>
        </w:rPr>
        <w:t>2.3.2 消防动力设计按下述分类：</w:t>
      </w:r>
    </w:p>
    <w:p>
      <w:pPr>
        <w:adjustRightInd w:val="0"/>
        <w:snapToGrid w:val="0"/>
        <w:spacing w:line="360" w:lineRule="auto"/>
        <w:ind w:firstLine="560" w:firstLineChars="200"/>
        <w:jc w:val="left"/>
        <w:rPr>
          <w:sz w:val="28"/>
          <w:highlight w:val="none"/>
        </w:rPr>
      </w:pPr>
      <w:r>
        <w:rPr>
          <w:rFonts w:hint="eastAsia"/>
          <w:sz w:val="28"/>
          <w:highlight w:val="none"/>
        </w:rPr>
        <w:t>（1）消防控制室。</w:t>
      </w:r>
    </w:p>
    <w:p>
      <w:pPr>
        <w:adjustRightInd w:val="0"/>
        <w:snapToGrid w:val="0"/>
        <w:spacing w:line="360" w:lineRule="auto"/>
        <w:ind w:firstLine="560" w:firstLineChars="200"/>
        <w:jc w:val="left"/>
        <w:rPr>
          <w:sz w:val="28"/>
          <w:highlight w:val="none"/>
        </w:rPr>
      </w:pPr>
      <w:r>
        <w:rPr>
          <w:rFonts w:hint="eastAsia"/>
          <w:sz w:val="28"/>
          <w:highlight w:val="none"/>
        </w:rPr>
        <w:t>（2）消防水泵及消防稳压泵。</w:t>
      </w:r>
    </w:p>
    <w:p>
      <w:pPr>
        <w:adjustRightInd w:val="0"/>
        <w:snapToGrid w:val="0"/>
        <w:spacing w:line="360" w:lineRule="auto"/>
        <w:ind w:firstLine="560" w:firstLineChars="200"/>
        <w:jc w:val="left"/>
        <w:rPr>
          <w:sz w:val="28"/>
          <w:highlight w:val="none"/>
        </w:rPr>
      </w:pPr>
      <w:r>
        <w:rPr>
          <w:rFonts w:hint="eastAsia"/>
          <w:sz w:val="28"/>
          <w:highlight w:val="none"/>
        </w:rPr>
        <w:t>（3）防火卷帘。</w:t>
      </w:r>
    </w:p>
    <w:p>
      <w:pPr>
        <w:adjustRightInd w:val="0"/>
        <w:snapToGrid w:val="0"/>
        <w:spacing w:line="360" w:lineRule="auto"/>
        <w:ind w:firstLine="560" w:firstLineChars="200"/>
        <w:jc w:val="left"/>
        <w:rPr>
          <w:sz w:val="28"/>
          <w:highlight w:val="none"/>
        </w:rPr>
      </w:pPr>
      <w:r>
        <w:rPr>
          <w:rFonts w:hint="eastAsia"/>
          <w:sz w:val="28"/>
          <w:highlight w:val="none"/>
        </w:rPr>
        <w:t>（4）消防电梯。</w:t>
      </w:r>
    </w:p>
    <w:p>
      <w:pPr>
        <w:adjustRightInd w:val="0"/>
        <w:snapToGrid w:val="0"/>
        <w:spacing w:line="360" w:lineRule="auto"/>
        <w:ind w:firstLine="560" w:firstLineChars="200"/>
        <w:jc w:val="left"/>
        <w:rPr>
          <w:sz w:val="28"/>
          <w:highlight w:val="none"/>
        </w:rPr>
      </w:pPr>
      <w:r>
        <w:rPr>
          <w:rFonts w:hint="eastAsia"/>
          <w:sz w:val="28"/>
          <w:highlight w:val="none"/>
        </w:rPr>
        <w:t>（5）消防排烟风机。</w:t>
      </w:r>
    </w:p>
    <w:p>
      <w:pPr>
        <w:adjustRightInd w:val="0"/>
        <w:snapToGrid w:val="0"/>
        <w:spacing w:line="360" w:lineRule="auto"/>
        <w:ind w:firstLine="560" w:firstLineChars="200"/>
        <w:jc w:val="left"/>
        <w:rPr>
          <w:sz w:val="28"/>
          <w:highlight w:val="none"/>
        </w:rPr>
      </w:pPr>
      <w:r>
        <w:rPr>
          <w:rFonts w:hint="eastAsia"/>
          <w:sz w:val="28"/>
          <w:highlight w:val="none"/>
        </w:rPr>
        <w:t>2.3.3 监控机房、电话交接间、弱电机房属本建筑的最高等级负荷。</w:t>
      </w:r>
    </w:p>
    <w:p>
      <w:pPr>
        <w:adjustRightInd w:val="0"/>
        <w:snapToGrid w:val="0"/>
        <w:spacing w:line="360" w:lineRule="auto"/>
        <w:ind w:firstLine="560" w:firstLineChars="200"/>
        <w:jc w:val="left"/>
        <w:rPr>
          <w:sz w:val="28"/>
          <w:highlight w:val="none"/>
        </w:rPr>
      </w:pPr>
      <w:r>
        <w:rPr>
          <w:rFonts w:hint="eastAsia"/>
          <w:sz w:val="28"/>
          <w:highlight w:val="none"/>
        </w:rPr>
        <w:t>2.3.4 配电系统应按防火分区划分。</w:t>
      </w:r>
    </w:p>
    <w:p>
      <w:pPr>
        <w:adjustRightInd w:val="0"/>
        <w:snapToGrid w:val="0"/>
        <w:spacing w:line="360" w:lineRule="auto"/>
        <w:ind w:firstLine="560" w:firstLineChars="200"/>
        <w:jc w:val="left"/>
        <w:rPr>
          <w:sz w:val="28"/>
          <w:highlight w:val="none"/>
        </w:rPr>
      </w:pPr>
      <w:r>
        <w:rPr>
          <w:rFonts w:hint="eastAsia"/>
          <w:sz w:val="28"/>
          <w:highlight w:val="none"/>
        </w:rPr>
        <w:t>2.3.5 在消防状态下，除消防负荷不能切断外，一般照明电源按层及防火分区切断。如空调负荷、一般风机等非消防电源的切断应在低压配电柜中的馈电断路器上执行；由于二次装修时的配电设计通常不会考虑非消防电源的切断，且从简捷方面考虑提出上述要求。</w:t>
      </w:r>
    </w:p>
    <w:p>
      <w:pPr>
        <w:adjustRightInd w:val="0"/>
        <w:snapToGrid w:val="0"/>
        <w:spacing w:line="360" w:lineRule="auto"/>
        <w:ind w:firstLine="560" w:firstLineChars="200"/>
        <w:jc w:val="left"/>
        <w:rPr>
          <w:sz w:val="28"/>
          <w:highlight w:val="none"/>
        </w:rPr>
      </w:pPr>
      <w:r>
        <w:rPr>
          <w:rFonts w:hint="eastAsia"/>
          <w:sz w:val="28"/>
          <w:highlight w:val="none"/>
        </w:rPr>
        <w:t>2.3.6 屋顶的风机等设备均应设置机旁急停按钮。</w:t>
      </w:r>
    </w:p>
    <w:p>
      <w:pPr>
        <w:adjustRightInd w:val="0"/>
        <w:snapToGrid w:val="0"/>
        <w:spacing w:line="360" w:lineRule="auto"/>
        <w:ind w:firstLine="560" w:firstLineChars="200"/>
        <w:jc w:val="left"/>
        <w:rPr>
          <w:sz w:val="28"/>
          <w:highlight w:val="none"/>
        </w:rPr>
      </w:pPr>
      <w:r>
        <w:rPr>
          <w:rFonts w:hint="eastAsia"/>
          <w:sz w:val="28"/>
          <w:highlight w:val="none"/>
        </w:rPr>
        <w:t>2.3.7 属于二级负荷的用电，例如自动扶梯、景观电梯、建筑高度小于50m的一般电梯，配电采用专用单路电缆供电（首端切换方式）即可，勿采用二路电缆未端切换。</w:t>
      </w:r>
    </w:p>
    <w:p>
      <w:pPr>
        <w:adjustRightInd w:val="0"/>
        <w:snapToGrid w:val="0"/>
        <w:spacing w:line="360" w:lineRule="auto"/>
        <w:ind w:firstLine="560" w:firstLineChars="200"/>
        <w:jc w:val="left"/>
        <w:rPr>
          <w:sz w:val="28"/>
          <w:highlight w:val="none"/>
        </w:rPr>
      </w:pPr>
      <w:r>
        <w:rPr>
          <w:rFonts w:hint="eastAsia"/>
          <w:sz w:val="28"/>
          <w:highlight w:val="none"/>
        </w:rPr>
        <w:t>2.4 电机配电与控制</w:t>
      </w:r>
    </w:p>
    <w:p>
      <w:pPr>
        <w:adjustRightInd w:val="0"/>
        <w:snapToGrid w:val="0"/>
        <w:spacing w:line="360" w:lineRule="auto"/>
        <w:ind w:firstLine="560" w:firstLineChars="200"/>
        <w:jc w:val="left"/>
        <w:rPr>
          <w:sz w:val="28"/>
          <w:highlight w:val="none"/>
        </w:rPr>
      </w:pPr>
      <w:r>
        <w:rPr>
          <w:rFonts w:hint="eastAsia"/>
          <w:sz w:val="28"/>
          <w:highlight w:val="none"/>
        </w:rPr>
        <w:t>2.4.1 特别注意：为节约投资，除生活水泵可能采用变频控制方式外（详见给排水及空调专业要求），空调机组控制及运行方式由空调专业根据空调系统需求定，电机启动尽量不采用软起动器和变频控制器。</w:t>
      </w:r>
    </w:p>
    <w:p>
      <w:pPr>
        <w:adjustRightInd w:val="0"/>
        <w:snapToGrid w:val="0"/>
        <w:spacing w:line="360" w:lineRule="auto"/>
        <w:ind w:firstLine="560" w:firstLineChars="200"/>
        <w:jc w:val="left"/>
        <w:rPr>
          <w:sz w:val="28"/>
          <w:highlight w:val="none"/>
        </w:rPr>
      </w:pPr>
      <w:r>
        <w:rPr>
          <w:rFonts w:hint="eastAsia"/>
          <w:sz w:val="28"/>
          <w:highlight w:val="none"/>
        </w:rPr>
        <w:t>2.4.2 本着愈简单愈可靠的原则，对极不频繁起动但又颇重要的电机如设计中的消防水泵、喷淋水泵、水喷雾水泵（如设置）尽量采用直接启动方式。当电机容量大于90kW时可采用Y-Δ启动方式。</w:t>
      </w:r>
    </w:p>
    <w:p>
      <w:pPr>
        <w:adjustRightInd w:val="0"/>
        <w:snapToGrid w:val="0"/>
        <w:spacing w:line="360" w:lineRule="auto"/>
        <w:ind w:firstLine="560" w:firstLineChars="200"/>
        <w:jc w:val="left"/>
        <w:rPr>
          <w:sz w:val="28"/>
          <w:highlight w:val="none"/>
        </w:rPr>
      </w:pPr>
      <w:r>
        <w:rPr>
          <w:rFonts w:hint="eastAsia"/>
          <w:sz w:val="28"/>
          <w:highlight w:val="none"/>
        </w:rPr>
        <w:t>2.4.3水泵、风机等设备控制原理图应提供国家标准图集号并标注详见</w:t>
      </w:r>
      <w:r>
        <w:rPr>
          <w:sz w:val="28"/>
          <w:highlight w:val="none"/>
        </w:rPr>
        <w:t>XX</w:t>
      </w:r>
      <w:r>
        <w:rPr>
          <w:rFonts w:hint="eastAsia"/>
          <w:sz w:val="28"/>
          <w:highlight w:val="none"/>
        </w:rPr>
        <w:t>页。</w:t>
      </w:r>
    </w:p>
    <w:p>
      <w:pPr>
        <w:adjustRightInd w:val="0"/>
        <w:snapToGrid w:val="0"/>
        <w:spacing w:line="360" w:lineRule="auto"/>
        <w:ind w:firstLine="560" w:firstLineChars="200"/>
        <w:jc w:val="left"/>
        <w:rPr>
          <w:sz w:val="28"/>
          <w:highlight w:val="none"/>
        </w:rPr>
      </w:pPr>
      <w:r>
        <w:rPr>
          <w:rFonts w:hint="eastAsia"/>
          <w:sz w:val="28"/>
          <w:highlight w:val="none"/>
        </w:rPr>
        <w:t>2.5 照明系统</w:t>
      </w:r>
    </w:p>
    <w:p>
      <w:pPr>
        <w:adjustRightInd w:val="0"/>
        <w:snapToGrid w:val="0"/>
        <w:spacing w:line="360" w:lineRule="auto"/>
        <w:ind w:firstLine="560" w:firstLineChars="200"/>
        <w:jc w:val="left"/>
        <w:rPr>
          <w:sz w:val="28"/>
          <w:highlight w:val="none"/>
        </w:rPr>
      </w:pPr>
      <w:r>
        <w:rPr>
          <w:rFonts w:hint="eastAsia"/>
          <w:sz w:val="28"/>
          <w:highlight w:val="none"/>
        </w:rPr>
        <w:t>2.5.1 设备用房如变配电室、风机房、水泵房、等照明灯具布置必须配合相应的设备布置，照明平面图中须示意出设备位置。</w:t>
      </w:r>
    </w:p>
    <w:p>
      <w:pPr>
        <w:adjustRightInd w:val="0"/>
        <w:snapToGrid w:val="0"/>
        <w:spacing w:line="360" w:lineRule="auto"/>
        <w:ind w:firstLine="560" w:firstLineChars="200"/>
        <w:jc w:val="left"/>
        <w:rPr>
          <w:sz w:val="28"/>
          <w:highlight w:val="none"/>
        </w:rPr>
      </w:pPr>
      <w:r>
        <w:rPr>
          <w:rFonts w:hint="eastAsia"/>
          <w:sz w:val="28"/>
          <w:highlight w:val="none"/>
        </w:rPr>
        <w:t>2.5.2 变配电室照明：考虑设计经常滞后及有可能变化，变配电室的照明管线均明敷设。选用单管开启式荧光灯带，均匀布置。50%的灯具为内附蓄电池的自容式灯具，照度要求200LUX。灯具布置应配合高低压开关柜的位置进行设计，照明平面图中应将高低压开关柜表示出来。</w:t>
      </w:r>
    </w:p>
    <w:p>
      <w:pPr>
        <w:adjustRightInd w:val="0"/>
        <w:snapToGrid w:val="0"/>
        <w:spacing w:line="360" w:lineRule="auto"/>
        <w:ind w:firstLine="560" w:firstLineChars="200"/>
        <w:jc w:val="left"/>
        <w:rPr>
          <w:sz w:val="28"/>
          <w:highlight w:val="none"/>
        </w:rPr>
      </w:pPr>
      <w:r>
        <w:rPr>
          <w:rFonts w:hint="eastAsia"/>
          <w:sz w:val="28"/>
          <w:highlight w:val="none"/>
        </w:rPr>
        <w:t>2.5.3 消防控制室与监控室、弱电机房照明：按有吊顶设计，电源取自上述室内的紧急双电源切换电源箱，选用嵌入式荧光格珊灯，照度500Lx。</w:t>
      </w:r>
    </w:p>
    <w:p>
      <w:pPr>
        <w:adjustRightInd w:val="0"/>
        <w:snapToGrid w:val="0"/>
        <w:spacing w:line="360" w:lineRule="auto"/>
        <w:ind w:firstLine="560" w:firstLineChars="200"/>
        <w:jc w:val="left"/>
        <w:rPr>
          <w:sz w:val="28"/>
          <w:highlight w:val="none"/>
        </w:rPr>
      </w:pPr>
      <w:r>
        <w:rPr>
          <w:rFonts w:hint="eastAsia"/>
          <w:sz w:val="28"/>
          <w:highlight w:val="none"/>
        </w:rPr>
        <w:t>2.5.4 电梯机房照明：选用双管开启式荧光灯，均匀布置，地面照度200Lx。机房插座、电梯井道基坑插座、电梯井道照明设计到位。</w:t>
      </w:r>
    </w:p>
    <w:p>
      <w:pPr>
        <w:adjustRightInd w:val="0"/>
        <w:snapToGrid w:val="0"/>
        <w:spacing w:line="360" w:lineRule="auto"/>
        <w:ind w:firstLine="560" w:firstLineChars="200"/>
        <w:jc w:val="left"/>
        <w:rPr>
          <w:sz w:val="28"/>
          <w:highlight w:val="none"/>
        </w:rPr>
      </w:pPr>
      <w:r>
        <w:rPr>
          <w:rFonts w:hint="eastAsia"/>
          <w:sz w:val="28"/>
          <w:highlight w:val="none"/>
        </w:rPr>
        <w:t>2.5.5 楼梯间、楼梯前室照明</w:t>
      </w:r>
    </w:p>
    <w:p>
      <w:pPr>
        <w:adjustRightInd w:val="0"/>
        <w:snapToGrid w:val="0"/>
        <w:spacing w:line="360" w:lineRule="auto"/>
        <w:ind w:firstLine="560" w:firstLineChars="200"/>
        <w:jc w:val="left"/>
        <w:rPr>
          <w:sz w:val="28"/>
          <w:highlight w:val="none"/>
        </w:rPr>
      </w:pPr>
      <w:r>
        <w:rPr>
          <w:rFonts w:hint="eastAsia"/>
          <w:sz w:val="28"/>
          <w:highlight w:val="none"/>
        </w:rPr>
        <w:t>（1）该部位应急照明和疏散指示同商业其他部位的应急照明和疏散指示应严格分开以适应二次装修的灵活变更。</w:t>
      </w:r>
    </w:p>
    <w:p>
      <w:pPr>
        <w:adjustRightInd w:val="0"/>
        <w:snapToGrid w:val="0"/>
        <w:spacing w:line="360" w:lineRule="auto"/>
        <w:ind w:firstLine="560" w:firstLineChars="200"/>
        <w:jc w:val="left"/>
        <w:rPr>
          <w:sz w:val="28"/>
          <w:highlight w:val="none"/>
        </w:rPr>
      </w:pPr>
      <w:r>
        <w:rPr>
          <w:rFonts w:hint="eastAsia"/>
          <w:sz w:val="28"/>
          <w:highlight w:val="none"/>
        </w:rPr>
        <w:t>（2）楼梯、楼梯前室均选用吸顶灯配置，声近模式，竖向照明配电。</w:t>
      </w:r>
    </w:p>
    <w:p>
      <w:pPr>
        <w:adjustRightInd w:val="0"/>
        <w:snapToGrid w:val="0"/>
        <w:spacing w:line="360" w:lineRule="auto"/>
        <w:ind w:firstLine="560" w:firstLineChars="200"/>
        <w:jc w:val="left"/>
        <w:rPr>
          <w:sz w:val="28"/>
          <w:highlight w:val="none"/>
        </w:rPr>
      </w:pPr>
      <w:r>
        <w:rPr>
          <w:rFonts w:hint="eastAsia"/>
          <w:sz w:val="28"/>
          <w:highlight w:val="none"/>
        </w:rPr>
        <w:t>（3）楼梯间照明：各楼梯间照明设置一专用应急电源箱（同时供电气竖井井照明）；楼梯间照明采用竖向供电，至少二个照明回路；每路灯具不多于25盏。</w:t>
      </w:r>
    </w:p>
    <w:p>
      <w:pPr>
        <w:adjustRightInd w:val="0"/>
        <w:snapToGrid w:val="0"/>
        <w:spacing w:line="360" w:lineRule="auto"/>
        <w:ind w:firstLine="560" w:firstLineChars="200"/>
        <w:jc w:val="left"/>
        <w:rPr>
          <w:sz w:val="28"/>
          <w:highlight w:val="none"/>
        </w:rPr>
      </w:pPr>
      <w:r>
        <w:rPr>
          <w:rFonts w:hint="eastAsia"/>
          <w:sz w:val="28"/>
          <w:highlight w:val="none"/>
        </w:rPr>
        <w:t>（4）楼梯前室照明：参考楼梯间照明方式，设置一般照明及应急照明，分回路供电。</w:t>
      </w:r>
    </w:p>
    <w:p>
      <w:pPr>
        <w:adjustRightInd w:val="0"/>
        <w:snapToGrid w:val="0"/>
        <w:spacing w:line="360" w:lineRule="auto"/>
        <w:ind w:firstLine="560" w:firstLineChars="200"/>
        <w:jc w:val="left"/>
        <w:rPr>
          <w:sz w:val="28"/>
          <w:highlight w:val="none"/>
        </w:rPr>
      </w:pPr>
      <w:r>
        <w:rPr>
          <w:rFonts w:hint="eastAsia"/>
          <w:sz w:val="28"/>
          <w:highlight w:val="none"/>
        </w:rPr>
        <w:t>2.5.6 电气照明设计请按下述分类：</w:t>
      </w:r>
    </w:p>
    <w:p>
      <w:pPr>
        <w:adjustRightInd w:val="0"/>
        <w:snapToGrid w:val="0"/>
        <w:spacing w:line="360" w:lineRule="auto"/>
        <w:ind w:firstLine="560" w:firstLineChars="200"/>
        <w:jc w:val="left"/>
        <w:rPr>
          <w:sz w:val="28"/>
          <w:highlight w:val="none"/>
        </w:rPr>
      </w:pPr>
      <w:r>
        <w:rPr>
          <w:rFonts w:hint="eastAsia"/>
          <w:sz w:val="28"/>
          <w:highlight w:val="none"/>
        </w:rPr>
        <w:t>（1） 本次设计的一般照明。</w:t>
      </w:r>
    </w:p>
    <w:p>
      <w:pPr>
        <w:adjustRightInd w:val="0"/>
        <w:snapToGrid w:val="0"/>
        <w:spacing w:line="360" w:lineRule="auto"/>
        <w:ind w:firstLine="560" w:firstLineChars="200"/>
        <w:jc w:val="left"/>
        <w:rPr>
          <w:sz w:val="28"/>
          <w:highlight w:val="none"/>
        </w:rPr>
      </w:pPr>
      <w:r>
        <w:rPr>
          <w:rFonts w:hint="eastAsia"/>
          <w:sz w:val="28"/>
          <w:highlight w:val="none"/>
        </w:rPr>
        <w:t>（2）本次设计的应急照明。</w:t>
      </w:r>
    </w:p>
    <w:p>
      <w:pPr>
        <w:adjustRightInd w:val="0"/>
        <w:snapToGrid w:val="0"/>
        <w:spacing w:line="360" w:lineRule="auto"/>
        <w:ind w:firstLine="560" w:firstLineChars="200"/>
        <w:jc w:val="left"/>
        <w:rPr>
          <w:sz w:val="28"/>
          <w:highlight w:val="none"/>
        </w:rPr>
      </w:pPr>
      <w:r>
        <w:rPr>
          <w:rFonts w:hint="eastAsia"/>
          <w:sz w:val="28"/>
          <w:highlight w:val="none"/>
        </w:rPr>
        <w:t>（3）二次装修时的一般照明。</w:t>
      </w:r>
    </w:p>
    <w:p>
      <w:pPr>
        <w:adjustRightInd w:val="0"/>
        <w:snapToGrid w:val="0"/>
        <w:spacing w:line="360" w:lineRule="auto"/>
        <w:ind w:firstLine="560" w:firstLineChars="200"/>
        <w:jc w:val="left"/>
        <w:rPr>
          <w:sz w:val="28"/>
          <w:highlight w:val="none"/>
        </w:rPr>
      </w:pPr>
      <w:r>
        <w:rPr>
          <w:rFonts w:hint="eastAsia"/>
          <w:sz w:val="28"/>
          <w:highlight w:val="none"/>
        </w:rPr>
        <w:t>（4）二次装修时的应急照明。</w:t>
      </w:r>
    </w:p>
    <w:p>
      <w:pPr>
        <w:adjustRightInd w:val="0"/>
        <w:snapToGrid w:val="0"/>
        <w:spacing w:line="360" w:lineRule="auto"/>
        <w:ind w:firstLine="560" w:firstLineChars="200"/>
        <w:jc w:val="left"/>
        <w:rPr>
          <w:sz w:val="28"/>
          <w:highlight w:val="none"/>
        </w:rPr>
      </w:pPr>
      <w:r>
        <w:rPr>
          <w:rFonts w:hint="eastAsia"/>
          <w:sz w:val="28"/>
          <w:highlight w:val="none"/>
        </w:rPr>
        <w:t>2.6 设备安装及选型</w:t>
      </w:r>
    </w:p>
    <w:p>
      <w:pPr>
        <w:adjustRightInd w:val="0"/>
        <w:snapToGrid w:val="0"/>
        <w:spacing w:line="360" w:lineRule="auto"/>
        <w:ind w:firstLine="560" w:firstLineChars="200"/>
        <w:jc w:val="left"/>
        <w:rPr>
          <w:sz w:val="28"/>
          <w:highlight w:val="none"/>
        </w:rPr>
      </w:pPr>
      <w:r>
        <w:rPr>
          <w:rFonts w:hint="eastAsia"/>
          <w:sz w:val="28"/>
          <w:highlight w:val="none"/>
        </w:rPr>
        <w:t>2.61  10kV系统当采用真空断路器时，除10kV主配室的进线断路器选用国产通用型VS1-1250/31.5kA外，其余均选用VS1-630/25kA。</w:t>
      </w:r>
    </w:p>
    <w:p>
      <w:pPr>
        <w:adjustRightInd w:val="0"/>
        <w:snapToGrid w:val="0"/>
        <w:spacing w:line="360" w:lineRule="auto"/>
        <w:ind w:firstLine="560" w:firstLineChars="200"/>
        <w:jc w:val="left"/>
        <w:rPr>
          <w:sz w:val="28"/>
          <w:highlight w:val="none"/>
        </w:rPr>
      </w:pPr>
      <w:r>
        <w:rPr>
          <w:rFonts w:hint="eastAsia"/>
          <w:sz w:val="28"/>
          <w:highlight w:val="none"/>
        </w:rPr>
        <w:t>2.6.2  10kV系统中对计量设施的精度要求：电压互感器0.2级，电流互感器0.2S级，有功表0.5S级。</w:t>
      </w:r>
    </w:p>
    <w:p>
      <w:pPr>
        <w:adjustRightInd w:val="0"/>
        <w:snapToGrid w:val="0"/>
        <w:spacing w:line="360" w:lineRule="auto"/>
        <w:ind w:firstLine="560" w:firstLineChars="200"/>
        <w:jc w:val="left"/>
        <w:rPr>
          <w:sz w:val="28"/>
          <w:highlight w:val="none"/>
        </w:rPr>
      </w:pPr>
      <w:r>
        <w:rPr>
          <w:rFonts w:hint="eastAsia"/>
          <w:sz w:val="28"/>
          <w:highlight w:val="none"/>
        </w:rPr>
        <w:t>2.6.3 为节约工程造价，除涉及到消防电气系统外的沿墙及吊顶内敷设的电气穿线钢管（φ25以下）均应选用薄壁穿线钢管。</w:t>
      </w:r>
    </w:p>
    <w:p>
      <w:pPr>
        <w:adjustRightInd w:val="0"/>
        <w:snapToGrid w:val="0"/>
        <w:spacing w:line="360" w:lineRule="auto"/>
        <w:ind w:firstLine="560" w:firstLineChars="200"/>
        <w:jc w:val="left"/>
        <w:rPr>
          <w:sz w:val="28"/>
          <w:highlight w:val="none"/>
        </w:rPr>
      </w:pPr>
      <w:r>
        <w:rPr>
          <w:rFonts w:hint="eastAsia"/>
          <w:sz w:val="28"/>
          <w:highlight w:val="none"/>
        </w:rPr>
        <w:t>2.6.4 为方便固定垂直电缆，强电竖井内的电力电缆桥架应选为梯形电缆桥架；其余部位电缆桥架选型为托盘式桥架：冷轧镀锌钢板、灰色烤漆。</w:t>
      </w:r>
    </w:p>
    <w:p>
      <w:pPr>
        <w:adjustRightInd w:val="0"/>
        <w:snapToGrid w:val="0"/>
        <w:spacing w:line="360" w:lineRule="auto"/>
        <w:ind w:firstLine="560" w:firstLineChars="200"/>
        <w:jc w:val="left"/>
        <w:rPr>
          <w:sz w:val="28"/>
          <w:highlight w:val="none"/>
        </w:rPr>
      </w:pPr>
      <w:r>
        <w:rPr>
          <w:rFonts w:hint="eastAsia"/>
          <w:sz w:val="28"/>
          <w:highlight w:val="none"/>
        </w:rPr>
        <w:t xml:space="preserve">2.6.5 为节约投资和方便施工，变压器至低压进线柜、空调主机房及其大功率主机配电、大功率大电流配电选用封闭式母线槽，其余配电应尽量不选用母线槽和预分支电缆，确需选用预分支电缆时应征得业主方书面许可。 </w:t>
      </w:r>
    </w:p>
    <w:p>
      <w:pPr>
        <w:adjustRightInd w:val="0"/>
        <w:snapToGrid w:val="0"/>
        <w:spacing w:line="360" w:lineRule="auto"/>
        <w:ind w:firstLine="560" w:firstLineChars="200"/>
        <w:jc w:val="left"/>
        <w:rPr>
          <w:sz w:val="28"/>
          <w:highlight w:val="none"/>
        </w:rPr>
      </w:pPr>
      <w:r>
        <w:rPr>
          <w:rFonts w:hint="eastAsia"/>
          <w:sz w:val="28"/>
          <w:highlight w:val="none"/>
        </w:rPr>
        <w:t>2.6.6 除消防配电回路外，其他均选用B级阻燃电缆。</w:t>
      </w:r>
    </w:p>
    <w:p>
      <w:pPr>
        <w:adjustRightInd w:val="0"/>
        <w:snapToGrid w:val="0"/>
        <w:spacing w:line="360" w:lineRule="auto"/>
        <w:ind w:firstLine="560" w:firstLineChars="200"/>
        <w:jc w:val="left"/>
        <w:rPr>
          <w:sz w:val="28"/>
          <w:highlight w:val="none"/>
        </w:rPr>
      </w:pPr>
      <w:r>
        <w:rPr>
          <w:rFonts w:hint="eastAsia"/>
          <w:sz w:val="28"/>
          <w:highlight w:val="none"/>
        </w:rPr>
        <w:t>2.6.7 消防电源的配电电缆（线）是否需选择耐火电缆（线），设计应按敷设方式的不同进行选择，例如穿管暗敷已满足消防要求时选用阻燃电缆即可。</w:t>
      </w:r>
    </w:p>
    <w:p>
      <w:pPr>
        <w:adjustRightInd w:val="0"/>
        <w:snapToGrid w:val="0"/>
        <w:spacing w:line="360" w:lineRule="auto"/>
        <w:ind w:left="560"/>
        <w:jc w:val="left"/>
        <w:rPr>
          <w:sz w:val="28"/>
          <w:highlight w:val="none"/>
        </w:rPr>
      </w:pPr>
      <w:r>
        <w:rPr>
          <w:sz w:val="28"/>
          <w:highlight w:val="none"/>
        </w:rPr>
        <w:t xml:space="preserve">2.6.8 </w:t>
      </w:r>
      <w:r>
        <w:rPr>
          <w:rFonts w:hint="eastAsia"/>
          <w:sz w:val="28"/>
          <w:highlight w:val="none"/>
        </w:rPr>
        <w:t>对</w:t>
      </w:r>
      <w:r>
        <w:rPr>
          <w:sz w:val="28"/>
          <w:highlight w:val="none"/>
        </w:rPr>
        <w:t>0.4kV</w:t>
      </w:r>
      <w:r>
        <w:rPr>
          <w:rFonts w:hint="eastAsia"/>
          <w:sz w:val="28"/>
          <w:highlight w:val="none"/>
        </w:rPr>
        <w:t>交联电缆在已考虑校正系数情形下的载流量约定为：</w:t>
      </w:r>
      <w:r>
        <w:rPr>
          <w:sz w:val="28"/>
          <w:highlight w:val="none"/>
        </w:rPr>
        <w:br w:type="textWrapping"/>
      </w:r>
      <w:r>
        <w:rPr>
          <w:sz w:val="28"/>
          <w:highlight w:val="none"/>
        </w:rPr>
        <w:t>16mm2</w:t>
      </w:r>
      <w:r>
        <w:rPr>
          <w:rFonts w:hint="eastAsia"/>
          <w:sz w:val="28"/>
          <w:highlight w:val="none"/>
        </w:rPr>
        <w:t>→</w:t>
      </w:r>
      <w:r>
        <w:rPr>
          <w:sz w:val="28"/>
          <w:highlight w:val="none"/>
        </w:rPr>
        <w:t xml:space="preserve">63A </w:t>
      </w:r>
      <w:r>
        <w:rPr>
          <w:rFonts w:hint="eastAsia"/>
          <w:sz w:val="28"/>
          <w:highlight w:val="none"/>
        </w:rPr>
        <w:t>；</w:t>
      </w:r>
      <w:r>
        <w:rPr>
          <w:sz w:val="28"/>
          <w:highlight w:val="none"/>
        </w:rPr>
        <w:t>25mm2</w:t>
      </w:r>
      <w:r>
        <w:rPr>
          <w:rFonts w:hint="eastAsia"/>
          <w:sz w:val="28"/>
          <w:highlight w:val="none"/>
        </w:rPr>
        <w:t>→</w:t>
      </w:r>
      <w:r>
        <w:rPr>
          <w:sz w:val="28"/>
          <w:highlight w:val="none"/>
        </w:rPr>
        <w:t>80A</w:t>
      </w:r>
      <w:r>
        <w:rPr>
          <w:rFonts w:hint="eastAsia"/>
          <w:sz w:val="28"/>
          <w:highlight w:val="none"/>
        </w:rPr>
        <w:t>；</w:t>
      </w:r>
      <w:r>
        <w:rPr>
          <w:sz w:val="28"/>
          <w:highlight w:val="none"/>
        </w:rPr>
        <w:t>35mm2</w:t>
      </w:r>
      <w:r>
        <w:rPr>
          <w:rFonts w:hint="eastAsia"/>
          <w:sz w:val="28"/>
          <w:highlight w:val="none"/>
        </w:rPr>
        <w:t>→</w:t>
      </w:r>
      <w:r>
        <w:rPr>
          <w:sz w:val="28"/>
          <w:highlight w:val="none"/>
        </w:rPr>
        <w:t>100A</w:t>
      </w:r>
      <w:r>
        <w:rPr>
          <w:rFonts w:hint="eastAsia"/>
          <w:sz w:val="28"/>
          <w:highlight w:val="none"/>
        </w:rPr>
        <w:t>；</w:t>
      </w:r>
      <w:r>
        <w:rPr>
          <w:sz w:val="28"/>
          <w:highlight w:val="none"/>
        </w:rPr>
        <w:t>50mm2</w:t>
      </w:r>
      <w:r>
        <w:rPr>
          <w:rFonts w:hint="eastAsia"/>
          <w:sz w:val="28"/>
          <w:highlight w:val="none"/>
        </w:rPr>
        <w:t>→</w:t>
      </w:r>
      <w:r>
        <w:rPr>
          <w:sz w:val="28"/>
          <w:highlight w:val="none"/>
        </w:rPr>
        <w:t>125A</w:t>
      </w:r>
      <w:r>
        <w:rPr>
          <w:rFonts w:hint="eastAsia"/>
          <w:sz w:val="28"/>
          <w:highlight w:val="none"/>
        </w:rPr>
        <w:t>；</w:t>
      </w:r>
      <w:r>
        <w:rPr>
          <w:sz w:val="28"/>
          <w:highlight w:val="none"/>
        </w:rPr>
        <w:t>70mm2</w:t>
      </w:r>
      <w:r>
        <w:rPr>
          <w:rFonts w:hint="eastAsia"/>
          <w:sz w:val="28"/>
          <w:highlight w:val="none"/>
        </w:rPr>
        <w:t>→</w:t>
      </w:r>
      <w:r>
        <w:rPr>
          <w:sz w:val="28"/>
          <w:highlight w:val="none"/>
        </w:rPr>
        <w:t>160A</w:t>
      </w:r>
      <w:r>
        <w:rPr>
          <w:rFonts w:hint="eastAsia"/>
          <w:sz w:val="28"/>
          <w:highlight w:val="none"/>
        </w:rPr>
        <w:t>；</w:t>
      </w:r>
      <w:r>
        <w:rPr>
          <w:sz w:val="28"/>
          <w:highlight w:val="none"/>
        </w:rPr>
        <w:t>95mm2</w:t>
      </w:r>
      <w:r>
        <w:rPr>
          <w:rFonts w:hint="eastAsia"/>
          <w:sz w:val="28"/>
          <w:highlight w:val="none"/>
        </w:rPr>
        <w:t>→</w:t>
      </w:r>
      <w:r>
        <w:rPr>
          <w:sz w:val="28"/>
          <w:highlight w:val="none"/>
        </w:rPr>
        <w:t>200A</w:t>
      </w:r>
      <w:r>
        <w:rPr>
          <w:rFonts w:hint="eastAsia"/>
          <w:sz w:val="28"/>
          <w:highlight w:val="none"/>
        </w:rPr>
        <w:t>；</w:t>
      </w:r>
      <w:r>
        <w:rPr>
          <w:sz w:val="28"/>
          <w:highlight w:val="none"/>
        </w:rPr>
        <w:t>120mm2</w:t>
      </w:r>
      <w:r>
        <w:rPr>
          <w:rFonts w:hint="eastAsia"/>
          <w:sz w:val="28"/>
          <w:highlight w:val="none"/>
        </w:rPr>
        <w:t>→</w:t>
      </w:r>
      <w:r>
        <w:rPr>
          <w:sz w:val="28"/>
          <w:highlight w:val="none"/>
        </w:rPr>
        <w:t>225A</w:t>
      </w:r>
      <w:r>
        <w:rPr>
          <w:rFonts w:hint="eastAsia"/>
          <w:sz w:val="28"/>
          <w:highlight w:val="none"/>
        </w:rPr>
        <w:t>；</w:t>
      </w:r>
      <w:r>
        <w:rPr>
          <w:sz w:val="28"/>
          <w:highlight w:val="none"/>
        </w:rPr>
        <w:t>150mm2</w:t>
      </w:r>
      <w:r>
        <w:rPr>
          <w:rFonts w:hint="eastAsia"/>
          <w:sz w:val="28"/>
          <w:highlight w:val="none"/>
        </w:rPr>
        <w:t>→</w:t>
      </w:r>
      <w:r>
        <w:rPr>
          <w:sz w:val="28"/>
          <w:highlight w:val="none"/>
        </w:rPr>
        <w:t>250A</w:t>
      </w:r>
      <w:r>
        <w:rPr>
          <w:rFonts w:hint="eastAsia"/>
          <w:sz w:val="28"/>
          <w:highlight w:val="none"/>
        </w:rPr>
        <w:t>；</w:t>
      </w:r>
      <w:r>
        <w:rPr>
          <w:sz w:val="28"/>
          <w:highlight w:val="none"/>
        </w:rPr>
        <w:t>185mm2</w:t>
      </w:r>
      <w:r>
        <w:rPr>
          <w:rFonts w:hint="eastAsia"/>
          <w:sz w:val="28"/>
          <w:highlight w:val="none"/>
        </w:rPr>
        <w:t>→</w:t>
      </w:r>
      <w:r>
        <w:rPr>
          <w:sz w:val="28"/>
          <w:highlight w:val="none"/>
        </w:rPr>
        <w:t>320A</w:t>
      </w:r>
      <w:r>
        <w:rPr>
          <w:rFonts w:hint="eastAsia"/>
          <w:sz w:val="28"/>
          <w:highlight w:val="none"/>
        </w:rPr>
        <w:t>；</w:t>
      </w:r>
      <w:r>
        <w:rPr>
          <w:sz w:val="28"/>
          <w:highlight w:val="none"/>
        </w:rPr>
        <w:t>240mm2</w:t>
      </w:r>
      <w:r>
        <w:rPr>
          <w:rFonts w:hint="eastAsia"/>
          <w:sz w:val="28"/>
          <w:highlight w:val="none"/>
        </w:rPr>
        <w:t>→</w:t>
      </w:r>
      <w:r>
        <w:rPr>
          <w:sz w:val="28"/>
          <w:highlight w:val="none"/>
        </w:rPr>
        <w:t>400A</w:t>
      </w:r>
      <w:r>
        <w:rPr>
          <w:rFonts w:hint="eastAsia"/>
          <w:sz w:val="28"/>
          <w:highlight w:val="none"/>
        </w:rPr>
        <w:t>。大于</w:t>
      </w:r>
      <w:r>
        <w:rPr>
          <w:sz w:val="28"/>
          <w:highlight w:val="none"/>
        </w:rPr>
        <w:t>240mm2</w:t>
      </w:r>
      <w:r>
        <w:rPr>
          <w:rFonts w:hint="eastAsia"/>
          <w:sz w:val="28"/>
          <w:highlight w:val="none"/>
        </w:rPr>
        <w:t>截面电缆的选用须征求许可。</w:t>
      </w:r>
    </w:p>
    <w:p>
      <w:pPr>
        <w:adjustRightInd w:val="0"/>
        <w:snapToGrid w:val="0"/>
        <w:spacing w:line="360" w:lineRule="auto"/>
        <w:ind w:firstLine="560" w:firstLineChars="200"/>
        <w:jc w:val="left"/>
        <w:rPr>
          <w:strike/>
          <w:sz w:val="28"/>
          <w:highlight w:val="none"/>
        </w:rPr>
      </w:pPr>
      <w:r>
        <w:rPr>
          <w:rFonts w:hint="eastAsia"/>
          <w:sz w:val="28"/>
          <w:highlight w:val="none"/>
        </w:rPr>
        <w:t>2.6.9 电线电缆材料的选用以满足规范要求前提下，成本优先，不应选用无必要的高规格产品。消防设备电缆应根据建筑防火规对于主干电缆应采用矿物绝缘电缆，消防设备房内可以采用耐火电缆。</w:t>
      </w:r>
    </w:p>
    <w:p>
      <w:pPr>
        <w:adjustRightInd w:val="0"/>
        <w:snapToGrid w:val="0"/>
        <w:spacing w:line="360" w:lineRule="auto"/>
        <w:ind w:firstLine="560" w:firstLineChars="200"/>
        <w:jc w:val="left"/>
        <w:rPr>
          <w:sz w:val="28"/>
          <w:highlight w:val="none"/>
        </w:rPr>
      </w:pPr>
    </w:p>
    <w:p>
      <w:pPr>
        <w:adjustRightInd w:val="0"/>
        <w:snapToGrid w:val="0"/>
        <w:spacing w:line="360" w:lineRule="auto"/>
        <w:ind w:firstLine="560" w:firstLineChars="200"/>
        <w:jc w:val="left"/>
        <w:rPr>
          <w:sz w:val="28"/>
          <w:highlight w:val="none"/>
        </w:rPr>
      </w:pPr>
      <w:r>
        <w:rPr>
          <w:rFonts w:hint="eastAsia"/>
          <w:sz w:val="28"/>
          <w:highlight w:val="none"/>
        </w:rPr>
        <w:t>2.7 建筑平面布置</w:t>
      </w:r>
    </w:p>
    <w:p>
      <w:pPr>
        <w:adjustRightInd w:val="0"/>
        <w:snapToGrid w:val="0"/>
        <w:spacing w:line="360" w:lineRule="auto"/>
        <w:ind w:firstLine="560" w:firstLineChars="200"/>
        <w:jc w:val="left"/>
        <w:rPr>
          <w:sz w:val="28"/>
          <w:highlight w:val="none"/>
        </w:rPr>
      </w:pPr>
      <w:r>
        <w:rPr>
          <w:rFonts w:hint="eastAsia"/>
          <w:sz w:val="28"/>
          <w:highlight w:val="none"/>
        </w:rPr>
        <w:t>2.7.1 变电所应接近负荷中心并紧临由其供电的机房，值班室应设在机房和变电所中间部位以利于管理。</w:t>
      </w:r>
    </w:p>
    <w:p>
      <w:pPr>
        <w:adjustRightInd w:val="0"/>
        <w:snapToGrid w:val="0"/>
        <w:spacing w:line="360" w:lineRule="auto"/>
        <w:ind w:firstLine="560" w:firstLineChars="200"/>
        <w:jc w:val="left"/>
        <w:rPr>
          <w:sz w:val="28"/>
          <w:highlight w:val="none"/>
        </w:rPr>
      </w:pPr>
      <w:r>
        <w:rPr>
          <w:rFonts w:hint="eastAsia"/>
          <w:sz w:val="28"/>
          <w:highlight w:val="none"/>
        </w:rPr>
        <w:t>2.7.2 电气竖井（强、弱电井）门应开向公共部位，尽量不要开设在商铺内。电气竖井尽量宽面开门，即采用宽面操作方式。</w:t>
      </w:r>
    </w:p>
    <w:p>
      <w:pPr>
        <w:adjustRightInd w:val="0"/>
        <w:snapToGrid w:val="0"/>
        <w:spacing w:line="360" w:lineRule="auto"/>
        <w:ind w:firstLine="560" w:firstLineChars="200"/>
        <w:jc w:val="left"/>
        <w:rPr>
          <w:sz w:val="28"/>
          <w:highlight w:val="none"/>
        </w:rPr>
      </w:pPr>
      <w:r>
        <w:rPr>
          <w:rFonts w:hint="eastAsia"/>
          <w:sz w:val="28"/>
          <w:highlight w:val="none"/>
        </w:rPr>
        <w:t>2.7.3 消防控制室与监控室应尽量紧邻布置或合用同一房间，以方便管理，消防负荷及非消防负荷应严格分开配电，不可共用一台双电源切换箱。</w:t>
      </w:r>
    </w:p>
    <w:p>
      <w:pPr>
        <w:pStyle w:val="67"/>
        <w:numPr>
          <w:ilvl w:val="2"/>
          <w:numId w:val="2"/>
        </w:numPr>
        <w:adjustRightInd w:val="0"/>
        <w:snapToGrid w:val="0"/>
        <w:spacing w:line="360" w:lineRule="auto"/>
        <w:ind w:firstLineChars="0"/>
        <w:jc w:val="left"/>
        <w:rPr>
          <w:sz w:val="28"/>
          <w:highlight w:val="none"/>
        </w:rPr>
      </w:pPr>
      <w:r>
        <w:rPr>
          <w:rFonts w:hint="eastAsia"/>
          <w:sz w:val="28"/>
          <w:highlight w:val="none"/>
        </w:rPr>
        <w:t>变配电室、值班室应直接对外（不途经变配电室）。</w:t>
      </w:r>
    </w:p>
    <w:p>
      <w:pPr>
        <w:adjustRightInd w:val="0"/>
        <w:snapToGrid w:val="0"/>
        <w:spacing w:line="360" w:lineRule="auto"/>
        <w:ind w:firstLine="560" w:firstLineChars="200"/>
        <w:jc w:val="left"/>
        <w:rPr>
          <w:sz w:val="28"/>
          <w:highlight w:val="none"/>
        </w:rPr>
      </w:pPr>
      <w:r>
        <w:rPr>
          <w:sz w:val="28"/>
          <w:highlight w:val="none"/>
        </w:rPr>
        <w:t xml:space="preserve">2.7.5 </w:t>
      </w:r>
      <w:r>
        <w:rPr>
          <w:rFonts w:hint="eastAsia"/>
          <w:sz w:val="28"/>
          <w:highlight w:val="none"/>
        </w:rPr>
        <w:t>所有暗装配电箱设计中要给出各类配电箱的安装高度及方式。</w:t>
      </w:r>
    </w:p>
    <w:p>
      <w:pPr>
        <w:adjustRightInd w:val="0"/>
        <w:snapToGrid w:val="0"/>
        <w:spacing w:line="360" w:lineRule="auto"/>
        <w:ind w:firstLine="560" w:firstLineChars="200"/>
        <w:jc w:val="left"/>
        <w:rPr>
          <w:sz w:val="28"/>
          <w:highlight w:val="none"/>
        </w:rPr>
      </w:pPr>
      <w:r>
        <w:rPr>
          <w:rFonts w:hint="eastAsia"/>
          <w:sz w:val="28"/>
          <w:highlight w:val="none"/>
        </w:rPr>
        <w:t>2.7.6 各机电设备、强弱电管线上方尽量避免设置各种给排水、消防等水管路，如实在无法避免，应采取防护措施。</w:t>
      </w:r>
    </w:p>
    <w:p>
      <w:pPr>
        <w:adjustRightInd w:val="0"/>
        <w:snapToGrid w:val="0"/>
        <w:spacing w:line="360" w:lineRule="auto"/>
        <w:ind w:firstLine="560" w:firstLineChars="200"/>
        <w:jc w:val="left"/>
        <w:rPr>
          <w:sz w:val="28"/>
          <w:highlight w:val="none"/>
        </w:rPr>
      </w:pPr>
      <w:r>
        <w:rPr>
          <w:rFonts w:hint="eastAsia"/>
          <w:sz w:val="28"/>
          <w:highlight w:val="none"/>
        </w:rPr>
        <w:t>2.7.7 低压配电系统推荐使用二次配电方式配电，由配电箱再分回路引至各楼层单位电表箱。</w:t>
      </w:r>
    </w:p>
    <w:p>
      <w:pPr>
        <w:adjustRightInd w:val="0"/>
        <w:snapToGrid w:val="0"/>
        <w:spacing w:line="360" w:lineRule="auto"/>
        <w:ind w:firstLine="560" w:firstLineChars="200"/>
        <w:jc w:val="left"/>
        <w:rPr>
          <w:sz w:val="28"/>
          <w:highlight w:val="none"/>
        </w:rPr>
      </w:pPr>
      <w:r>
        <w:rPr>
          <w:rFonts w:hint="eastAsia"/>
          <w:sz w:val="28"/>
          <w:highlight w:val="none"/>
        </w:rPr>
        <w:t>每户配电箱宜将总开关设置为漏电开关，配线应符合最新规范要求，特别是安全接地系统，各层电表配电箱二级，电表均安装在相应层电井内统一计量，每层设电井门。</w:t>
      </w:r>
    </w:p>
    <w:p>
      <w:pPr>
        <w:adjustRightInd w:val="0"/>
        <w:snapToGrid w:val="0"/>
        <w:spacing w:line="360" w:lineRule="auto"/>
        <w:ind w:firstLine="560" w:firstLineChars="200"/>
        <w:jc w:val="left"/>
        <w:rPr>
          <w:sz w:val="28"/>
          <w:highlight w:val="none"/>
        </w:rPr>
      </w:pPr>
      <w:r>
        <w:rPr>
          <w:rFonts w:hint="eastAsia"/>
          <w:sz w:val="28"/>
          <w:highlight w:val="none"/>
        </w:rPr>
        <w:t>2.7.8 在强点竖井内每层设置，强电竖井内分配至各户的干线可采用插接式母线槽或预制分支电缆，强电竖井内的其它电缆，采用电缆梯架敷设。</w:t>
      </w:r>
    </w:p>
    <w:p>
      <w:pPr>
        <w:adjustRightInd w:val="0"/>
        <w:snapToGrid w:val="0"/>
        <w:spacing w:line="360" w:lineRule="auto"/>
        <w:ind w:firstLine="560" w:firstLineChars="200"/>
        <w:jc w:val="left"/>
        <w:rPr>
          <w:sz w:val="28"/>
          <w:highlight w:val="none"/>
        </w:rPr>
      </w:pPr>
      <w:r>
        <w:rPr>
          <w:rFonts w:hint="eastAsia"/>
          <w:sz w:val="28"/>
          <w:highlight w:val="none"/>
        </w:rPr>
        <w:t>2.7.9 应急电源采用备用发电机组作为消防应急电源，发电机的设置应综合考虑进排风方便及对建筑立面的影响，发电机房应考虑排水措施，机房门的大小应考虑发电机组搬运情况。</w:t>
      </w:r>
    </w:p>
    <w:p>
      <w:pPr>
        <w:adjustRightInd w:val="0"/>
        <w:snapToGrid w:val="0"/>
        <w:spacing w:line="360" w:lineRule="auto"/>
        <w:ind w:firstLine="560" w:firstLineChars="200"/>
        <w:jc w:val="left"/>
        <w:rPr>
          <w:sz w:val="28"/>
          <w:highlight w:val="none"/>
        </w:rPr>
      </w:pPr>
      <w:r>
        <w:rPr>
          <w:rFonts w:hint="eastAsia"/>
          <w:sz w:val="28"/>
          <w:highlight w:val="none"/>
        </w:rPr>
        <w:t>2.7.10 弱电系统尽量共用一个机房，且消控监控中心尽量为共用。</w:t>
      </w:r>
    </w:p>
    <w:p>
      <w:pPr>
        <w:adjustRightInd w:val="0"/>
        <w:snapToGrid w:val="0"/>
        <w:spacing w:line="360" w:lineRule="auto"/>
        <w:ind w:firstLine="560" w:firstLineChars="200"/>
        <w:jc w:val="left"/>
        <w:rPr>
          <w:sz w:val="28"/>
          <w:highlight w:val="none"/>
        </w:rPr>
      </w:pPr>
      <w:r>
        <w:rPr>
          <w:rFonts w:hint="eastAsia"/>
          <w:sz w:val="28"/>
          <w:highlight w:val="none"/>
        </w:rPr>
        <w:t>2.7.11 应按功能区分合理考虑设置变配电室，</w:t>
      </w:r>
      <w:r>
        <w:rPr>
          <w:sz w:val="28"/>
          <w:highlight w:val="none"/>
        </w:rPr>
        <w:t>10kv</w:t>
      </w:r>
      <w:r>
        <w:rPr>
          <w:rFonts w:hint="eastAsia"/>
          <w:sz w:val="28"/>
          <w:highlight w:val="none"/>
        </w:rPr>
        <w:t>高压电源由﹍﹍路引入、变配电所尽量靠近负荷中心，并考虑进出线方便。</w:t>
      </w:r>
    </w:p>
    <w:p>
      <w:pPr>
        <w:adjustRightInd w:val="0"/>
        <w:snapToGrid w:val="0"/>
        <w:spacing w:line="360" w:lineRule="auto"/>
        <w:ind w:firstLine="560" w:firstLineChars="200"/>
        <w:jc w:val="left"/>
        <w:rPr>
          <w:sz w:val="28"/>
          <w:highlight w:val="none"/>
        </w:rPr>
      </w:pPr>
      <w:r>
        <w:rPr>
          <w:rFonts w:hint="eastAsia"/>
          <w:sz w:val="28"/>
          <w:highlight w:val="none"/>
        </w:rPr>
        <w:t>2.8 配套商业</w:t>
      </w:r>
    </w:p>
    <w:p>
      <w:pPr>
        <w:adjustRightInd w:val="0"/>
        <w:snapToGrid w:val="0"/>
        <w:spacing w:line="360" w:lineRule="auto"/>
        <w:ind w:firstLine="560" w:firstLineChars="200"/>
        <w:jc w:val="left"/>
        <w:rPr>
          <w:sz w:val="28"/>
          <w:highlight w:val="none"/>
        </w:rPr>
      </w:pPr>
      <w:r>
        <w:rPr>
          <w:rFonts w:hint="eastAsia"/>
          <w:sz w:val="28"/>
          <w:highlight w:val="none"/>
        </w:rPr>
        <w:t>2.8.1 设计界面</w:t>
      </w:r>
      <w:r>
        <w:rPr>
          <w:sz w:val="28"/>
          <w:highlight w:val="none"/>
        </w:rPr>
        <w:t xml:space="preserve"> </w:t>
      </w:r>
    </w:p>
    <w:p>
      <w:pPr>
        <w:adjustRightInd w:val="0"/>
        <w:snapToGrid w:val="0"/>
        <w:spacing w:line="360" w:lineRule="auto"/>
        <w:ind w:firstLine="560" w:firstLineChars="200"/>
        <w:jc w:val="left"/>
        <w:rPr>
          <w:sz w:val="28"/>
          <w:highlight w:val="none"/>
        </w:rPr>
      </w:pPr>
      <w:r>
        <w:rPr>
          <w:rFonts w:hint="eastAsia"/>
          <w:sz w:val="28"/>
          <w:highlight w:val="none"/>
        </w:rPr>
        <w:t>（1）所有与消防有关的电气设计（楼梯间照明、疏散照明、防火卷帘、消防电梯、消防风机）。</w:t>
      </w:r>
    </w:p>
    <w:p>
      <w:pPr>
        <w:adjustRightInd w:val="0"/>
        <w:snapToGrid w:val="0"/>
        <w:spacing w:line="360" w:lineRule="auto"/>
        <w:ind w:firstLine="560" w:firstLineChars="200"/>
        <w:jc w:val="left"/>
        <w:rPr>
          <w:sz w:val="28"/>
          <w:highlight w:val="none"/>
        </w:rPr>
      </w:pPr>
      <w:r>
        <w:rPr>
          <w:rFonts w:hint="eastAsia"/>
          <w:sz w:val="28"/>
          <w:highlight w:val="none"/>
        </w:rPr>
        <w:t>（2）电梯及扶梯配电。</w:t>
      </w:r>
    </w:p>
    <w:p>
      <w:pPr>
        <w:adjustRightInd w:val="0"/>
        <w:snapToGrid w:val="0"/>
        <w:spacing w:line="360" w:lineRule="auto"/>
        <w:ind w:firstLine="560" w:firstLineChars="200"/>
        <w:jc w:val="left"/>
        <w:rPr>
          <w:sz w:val="28"/>
          <w:highlight w:val="none"/>
        </w:rPr>
      </w:pPr>
      <w:r>
        <w:rPr>
          <w:rFonts w:hint="eastAsia"/>
          <w:sz w:val="28"/>
          <w:highlight w:val="none"/>
        </w:rPr>
        <w:t>（3）空调配电与控制。</w:t>
      </w:r>
    </w:p>
    <w:p>
      <w:pPr>
        <w:adjustRightInd w:val="0"/>
        <w:snapToGrid w:val="0"/>
        <w:spacing w:line="360" w:lineRule="auto"/>
        <w:ind w:firstLine="560" w:firstLineChars="200"/>
        <w:jc w:val="left"/>
        <w:rPr>
          <w:sz w:val="28"/>
          <w:highlight w:val="none"/>
        </w:rPr>
      </w:pPr>
      <w:r>
        <w:rPr>
          <w:rFonts w:hint="eastAsia"/>
          <w:sz w:val="28"/>
          <w:highlight w:val="none"/>
        </w:rPr>
        <w:t>（4）二次装修电源预留。</w:t>
      </w:r>
    </w:p>
    <w:p>
      <w:pPr>
        <w:adjustRightInd w:val="0"/>
        <w:snapToGrid w:val="0"/>
        <w:spacing w:line="360" w:lineRule="auto"/>
        <w:ind w:firstLine="560" w:firstLineChars="200"/>
        <w:jc w:val="left"/>
        <w:rPr>
          <w:sz w:val="28"/>
          <w:highlight w:val="none"/>
        </w:rPr>
      </w:pPr>
      <w:r>
        <w:rPr>
          <w:rFonts w:hint="eastAsia"/>
          <w:sz w:val="28"/>
          <w:highlight w:val="none"/>
        </w:rPr>
        <w:t>2.8.2 设计要求</w:t>
      </w:r>
    </w:p>
    <w:p>
      <w:pPr>
        <w:adjustRightInd w:val="0"/>
        <w:snapToGrid w:val="0"/>
        <w:spacing w:line="360" w:lineRule="auto"/>
        <w:ind w:firstLine="560" w:firstLineChars="200"/>
        <w:jc w:val="left"/>
        <w:rPr>
          <w:sz w:val="28"/>
          <w:highlight w:val="none"/>
        </w:rPr>
      </w:pPr>
      <w:r>
        <w:rPr>
          <w:rFonts w:hint="eastAsia"/>
          <w:sz w:val="28"/>
          <w:highlight w:val="none"/>
        </w:rPr>
        <w:t>由地下层变电所引下述供电回路，在变电所出线端设置计量：</w:t>
      </w:r>
    </w:p>
    <w:p>
      <w:pPr>
        <w:adjustRightInd w:val="0"/>
        <w:snapToGrid w:val="0"/>
        <w:spacing w:line="360" w:lineRule="auto"/>
        <w:ind w:firstLine="560" w:firstLineChars="200"/>
        <w:jc w:val="left"/>
        <w:rPr>
          <w:sz w:val="28"/>
          <w:highlight w:val="none"/>
        </w:rPr>
      </w:pPr>
      <w:r>
        <w:rPr>
          <w:rFonts w:hint="eastAsia"/>
          <w:sz w:val="28"/>
          <w:highlight w:val="none"/>
        </w:rPr>
        <w:t>（1）应急照明双电源切换箱：按防火分区设置，每个20kW，采用2根ZBN-YJV（5×16）耐火电缆，末端切换，变电所0.4kV出线断路器整定电流50A。</w:t>
      </w:r>
    </w:p>
    <w:p>
      <w:pPr>
        <w:adjustRightInd w:val="0"/>
        <w:snapToGrid w:val="0"/>
        <w:spacing w:line="360" w:lineRule="auto"/>
        <w:ind w:firstLine="560" w:firstLineChars="200"/>
        <w:jc w:val="left"/>
        <w:rPr>
          <w:sz w:val="28"/>
          <w:highlight w:val="none"/>
        </w:rPr>
      </w:pPr>
      <w:r>
        <w:rPr>
          <w:rFonts w:hint="eastAsia"/>
          <w:sz w:val="28"/>
          <w:highlight w:val="none"/>
        </w:rPr>
        <w:t>（2）消防控制室：20kW，采用末端切换箱配电，由变配电房放射式引来矿物绝缘电缆配电。</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3</w:t>
      </w:r>
      <w:r>
        <w:rPr>
          <w:rFonts w:hint="eastAsia"/>
          <w:sz w:val="28"/>
          <w:highlight w:val="none"/>
        </w:rPr>
        <w:t>）弱电机房：20kW，2根ZBN-YJV（5×16）耐火电缆，末端切换，变电所0.4kV出线断路器整定电流50A。</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4</w:t>
      </w:r>
      <w:r>
        <w:rPr>
          <w:rFonts w:hint="eastAsia"/>
          <w:sz w:val="28"/>
          <w:highlight w:val="none"/>
        </w:rPr>
        <w:t>）电话模块站：80kW，2根ZBN-YJV（4×70＋1×35）耐火电缆，末端切换，变电所0.4kV出线断路器整定电流150A；（此条仅供参考，以电信部门的要求为准）。</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5</w:t>
      </w:r>
      <w:r>
        <w:rPr>
          <w:rFonts w:hint="eastAsia"/>
          <w:sz w:val="28"/>
          <w:highlight w:val="none"/>
        </w:rPr>
        <w:t>）公共区域的新风机、屋顶送排风机属于同等级负荷，自变电所采用专用回路供电，屋顶送排风机需二地控制；商业内的空调用电自商业分配电箱接驳；走廊及公共区风机采用单独回路配电，配电箱设置在强电井内。</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6</w:t>
      </w:r>
      <w:r>
        <w:rPr>
          <w:rFonts w:hint="eastAsia"/>
          <w:sz w:val="28"/>
          <w:highlight w:val="none"/>
        </w:rPr>
        <w:t>）公共区域一般照明配置容量50W/m2，自变电所采用专用电缆引至楼层电井，其余由二装设计。</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7</w:t>
      </w:r>
      <w:r>
        <w:rPr>
          <w:rFonts w:hint="eastAsia"/>
          <w:sz w:val="28"/>
          <w:highlight w:val="none"/>
        </w:rPr>
        <w:t>）各商业的用电按防火分区配电，自变电所引专用回路，设置集中电表箱，选用1.0级电子式IC卡预付费电表（同时要结合当地供电部门的要求）。商业配电容量：小间，按4kW/间、20A单相；中间，按8kW/间、40A单相；大间，按12kW/间、60A单相。另外在集中电表箱中预留3个3相电表位置（设计中注明），以供餐饮增容。每集中电表箱中的电表数量不大于15个。</w:t>
      </w:r>
    </w:p>
    <w:p>
      <w:pPr>
        <w:adjustRightInd w:val="0"/>
        <w:snapToGrid w:val="0"/>
        <w:spacing w:line="360" w:lineRule="auto"/>
        <w:ind w:firstLine="560" w:firstLineChars="200"/>
        <w:jc w:val="left"/>
        <w:rPr>
          <w:sz w:val="28"/>
          <w:highlight w:val="none"/>
        </w:rPr>
      </w:pPr>
      <w:r>
        <w:rPr>
          <w:rFonts w:hint="eastAsia"/>
          <w:sz w:val="28"/>
          <w:highlight w:val="none"/>
        </w:rPr>
        <w:t>（9）各商业的开关、灯具、插座等布置均由二次装修设计决定，本次设计仅将商业分配电箱设计到位。</w:t>
      </w:r>
    </w:p>
    <w:p>
      <w:pPr>
        <w:adjustRightInd w:val="0"/>
        <w:snapToGrid w:val="0"/>
        <w:spacing w:line="360" w:lineRule="auto"/>
        <w:ind w:firstLine="560" w:firstLineChars="200"/>
        <w:jc w:val="left"/>
        <w:rPr>
          <w:sz w:val="28"/>
          <w:highlight w:val="none"/>
        </w:rPr>
      </w:pPr>
      <w:r>
        <w:rPr>
          <w:rFonts w:hint="eastAsia"/>
          <w:sz w:val="28"/>
          <w:highlight w:val="none"/>
        </w:rPr>
        <w:t>（10）内走廊及公共区域的应急照明、应急疏散指示设计到位以供消防审批。</w:t>
      </w:r>
    </w:p>
    <w:p>
      <w:pPr>
        <w:adjustRightInd w:val="0"/>
        <w:snapToGrid w:val="0"/>
        <w:spacing w:line="360" w:lineRule="auto"/>
        <w:ind w:firstLine="560" w:firstLineChars="200"/>
        <w:jc w:val="left"/>
        <w:rPr>
          <w:sz w:val="28"/>
          <w:highlight w:val="none"/>
        </w:rPr>
      </w:pPr>
      <w:r>
        <w:rPr>
          <w:rFonts w:hint="eastAsia"/>
          <w:sz w:val="28"/>
          <w:highlight w:val="none"/>
        </w:rPr>
        <w:t>2.9 办公部分</w:t>
      </w:r>
    </w:p>
    <w:p>
      <w:pPr>
        <w:adjustRightInd w:val="0"/>
        <w:snapToGrid w:val="0"/>
        <w:spacing w:line="360" w:lineRule="auto"/>
        <w:ind w:firstLine="560" w:firstLineChars="200"/>
        <w:jc w:val="left"/>
        <w:rPr>
          <w:sz w:val="28"/>
          <w:highlight w:val="none"/>
        </w:rPr>
      </w:pPr>
      <w:r>
        <w:rPr>
          <w:rFonts w:hint="eastAsia"/>
          <w:sz w:val="28"/>
          <w:highlight w:val="none"/>
        </w:rPr>
        <w:t>2.9.1 设计界面</w:t>
      </w:r>
    </w:p>
    <w:p>
      <w:pPr>
        <w:adjustRightInd w:val="0"/>
        <w:snapToGrid w:val="0"/>
        <w:spacing w:line="360" w:lineRule="auto"/>
        <w:ind w:firstLine="560" w:firstLineChars="200"/>
        <w:jc w:val="left"/>
        <w:rPr>
          <w:sz w:val="28"/>
          <w:highlight w:val="none"/>
        </w:rPr>
      </w:pPr>
      <w:r>
        <w:rPr>
          <w:rFonts w:hint="eastAsia"/>
          <w:sz w:val="28"/>
          <w:highlight w:val="none"/>
        </w:rPr>
        <w:t>（1）所有与消防有关的电气设计（楼梯间照明、疏散照明、防火卷帘、消防电梯、消防风机）。</w:t>
      </w:r>
    </w:p>
    <w:p>
      <w:pPr>
        <w:adjustRightInd w:val="0"/>
        <w:snapToGrid w:val="0"/>
        <w:spacing w:line="360" w:lineRule="auto"/>
        <w:ind w:firstLine="560" w:firstLineChars="200"/>
        <w:jc w:val="left"/>
        <w:rPr>
          <w:sz w:val="28"/>
          <w:highlight w:val="none"/>
        </w:rPr>
      </w:pPr>
      <w:r>
        <w:rPr>
          <w:rFonts w:hint="eastAsia"/>
          <w:sz w:val="28"/>
          <w:highlight w:val="none"/>
        </w:rPr>
        <w:t>（2）电梯配电。</w:t>
      </w:r>
    </w:p>
    <w:p>
      <w:pPr>
        <w:adjustRightInd w:val="0"/>
        <w:snapToGrid w:val="0"/>
        <w:spacing w:line="360" w:lineRule="auto"/>
        <w:ind w:firstLine="560" w:firstLineChars="200"/>
        <w:jc w:val="left"/>
        <w:rPr>
          <w:sz w:val="28"/>
          <w:highlight w:val="none"/>
        </w:rPr>
      </w:pPr>
      <w:r>
        <w:rPr>
          <w:rFonts w:hint="eastAsia"/>
          <w:sz w:val="28"/>
          <w:highlight w:val="none"/>
        </w:rPr>
        <w:t>（3）风机、水泵配电与控制。</w:t>
      </w:r>
    </w:p>
    <w:p>
      <w:pPr>
        <w:adjustRightInd w:val="0"/>
        <w:snapToGrid w:val="0"/>
        <w:spacing w:line="360" w:lineRule="auto"/>
        <w:ind w:firstLine="560" w:firstLineChars="200"/>
        <w:jc w:val="left"/>
        <w:rPr>
          <w:sz w:val="28"/>
          <w:highlight w:val="none"/>
        </w:rPr>
      </w:pPr>
      <w:r>
        <w:rPr>
          <w:rFonts w:hint="eastAsia"/>
          <w:sz w:val="28"/>
          <w:highlight w:val="none"/>
        </w:rPr>
        <w:t>（4）二次装修电源预留。</w:t>
      </w:r>
    </w:p>
    <w:p>
      <w:pPr>
        <w:adjustRightInd w:val="0"/>
        <w:snapToGrid w:val="0"/>
        <w:spacing w:line="360" w:lineRule="auto"/>
        <w:ind w:firstLine="560" w:firstLineChars="200"/>
        <w:jc w:val="left"/>
        <w:rPr>
          <w:color w:val="FF0000"/>
          <w:sz w:val="28"/>
          <w:highlight w:val="none"/>
        </w:rPr>
      </w:pPr>
      <w:r>
        <w:rPr>
          <w:rFonts w:hint="eastAsia"/>
          <w:sz w:val="28"/>
          <w:highlight w:val="none"/>
        </w:rPr>
        <w:t>（5）</w:t>
      </w:r>
      <w:r>
        <w:rPr>
          <w:rFonts w:hint="eastAsia"/>
          <w:color w:val="FF0000"/>
          <w:sz w:val="28"/>
          <w:highlight w:val="none"/>
        </w:rPr>
        <w:t>各分户设置配电箱，户内居中设置照明接线盒，其余由二装设计或用户自理。</w:t>
      </w:r>
    </w:p>
    <w:p>
      <w:pPr>
        <w:adjustRightInd w:val="0"/>
        <w:snapToGrid w:val="0"/>
        <w:spacing w:line="360" w:lineRule="auto"/>
        <w:ind w:firstLine="560" w:firstLineChars="200"/>
        <w:jc w:val="left"/>
        <w:rPr>
          <w:sz w:val="28"/>
          <w:highlight w:val="none"/>
        </w:rPr>
      </w:pPr>
      <w:r>
        <w:rPr>
          <w:rFonts w:hint="eastAsia"/>
          <w:sz w:val="28"/>
          <w:highlight w:val="none"/>
        </w:rPr>
        <w:t>2.9.2 设计要求:</w:t>
      </w:r>
    </w:p>
    <w:p>
      <w:pPr>
        <w:adjustRightInd w:val="0"/>
        <w:snapToGrid w:val="0"/>
        <w:spacing w:line="360" w:lineRule="auto"/>
        <w:ind w:firstLine="560" w:firstLineChars="200"/>
        <w:jc w:val="left"/>
        <w:rPr>
          <w:sz w:val="28"/>
          <w:highlight w:val="none"/>
        </w:rPr>
      </w:pPr>
      <w:r>
        <w:rPr>
          <w:rFonts w:hint="eastAsia"/>
          <w:sz w:val="28"/>
          <w:highlight w:val="none"/>
        </w:rPr>
        <w:t>（1）楼梯间、楼梯（消防电梯）前室照明采用竖向供电。</w:t>
      </w:r>
    </w:p>
    <w:p>
      <w:pPr>
        <w:adjustRightInd w:val="0"/>
        <w:snapToGrid w:val="0"/>
        <w:spacing w:line="360" w:lineRule="auto"/>
        <w:ind w:firstLine="560" w:firstLineChars="200"/>
        <w:jc w:val="left"/>
        <w:rPr>
          <w:sz w:val="28"/>
          <w:highlight w:val="none"/>
        </w:rPr>
      </w:pPr>
      <w:r>
        <w:rPr>
          <w:rFonts w:hint="eastAsia"/>
          <w:sz w:val="28"/>
          <w:highlight w:val="none"/>
        </w:rPr>
        <w:t>（2）每六层设一个应急照明配电箱，供内走廊应急照明及疏散指示，可不设置计量。</w:t>
      </w:r>
    </w:p>
    <w:p>
      <w:pPr>
        <w:adjustRightInd w:val="0"/>
        <w:snapToGrid w:val="0"/>
        <w:spacing w:line="360" w:lineRule="auto"/>
        <w:ind w:firstLine="560" w:firstLineChars="200"/>
        <w:jc w:val="left"/>
        <w:rPr>
          <w:sz w:val="28"/>
          <w:highlight w:val="none"/>
        </w:rPr>
      </w:pPr>
      <w:r>
        <w:rPr>
          <w:rFonts w:hint="eastAsia"/>
          <w:sz w:val="28"/>
          <w:highlight w:val="none"/>
        </w:rPr>
        <w:t>（3）自变电所出1专用回路，采用树干式供电，给二装预留每层公共区域的一般照明用电。每三层设1个二装一般照明计量配电箱，每层要计量，每层预留2个出线回路，电源预留在配电箱内，出线由二装设计。</w:t>
      </w:r>
    </w:p>
    <w:p>
      <w:pPr>
        <w:adjustRightInd w:val="0"/>
        <w:snapToGrid w:val="0"/>
        <w:spacing w:line="360" w:lineRule="auto"/>
        <w:ind w:firstLine="560" w:firstLineChars="200"/>
        <w:jc w:val="left"/>
        <w:rPr>
          <w:sz w:val="28"/>
          <w:highlight w:val="none"/>
        </w:rPr>
      </w:pPr>
      <w:r>
        <w:rPr>
          <w:rFonts w:hint="eastAsia"/>
          <w:sz w:val="28"/>
          <w:highlight w:val="none"/>
        </w:rPr>
        <w:t>2.9.3 部分楼层设集中表箱，分户计量（考虑电业局一户一表、抄表到户），计量表集中设在电气管井中间。楼梯间及前室设声光控（含应急）灯具。</w:t>
      </w:r>
    </w:p>
    <w:p>
      <w:pPr>
        <w:adjustRightInd w:val="0"/>
        <w:snapToGrid w:val="0"/>
        <w:spacing w:line="360" w:lineRule="auto"/>
        <w:ind w:firstLine="560" w:firstLineChars="200"/>
        <w:jc w:val="left"/>
        <w:rPr>
          <w:sz w:val="28"/>
          <w:highlight w:val="none"/>
        </w:rPr>
      </w:pPr>
      <w:r>
        <w:rPr>
          <w:rFonts w:hint="eastAsia"/>
          <w:sz w:val="28"/>
          <w:highlight w:val="none"/>
        </w:rPr>
        <w:t>2.9.4 用电量（含户内空调），负荷按办公用电要求进行设计。</w:t>
      </w:r>
    </w:p>
    <w:p>
      <w:pPr>
        <w:adjustRightInd w:val="0"/>
        <w:snapToGrid w:val="0"/>
        <w:spacing w:line="360" w:lineRule="auto"/>
        <w:ind w:firstLine="560" w:firstLineChars="200"/>
        <w:jc w:val="left"/>
        <w:rPr>
          <w:sz w:val="28"/>
          <w:highlight w:val="none"/>
        </w:rPr>
      </w:pPr>
      <w:r>
        <w:rPr>
          <w:rFonts w:hint="eastAsia"/>
          <w:sz w:val="28"/>
          <w:highlight w:val="none"/>
        </w:rPr>
        <w:t>2.9.5 配电箱、柜体规格尺寸在满足正常操作需要的前提下应合理紧凑；配电箱﹑电表箱及其它留洞位置﹑尺寸大小应在建筑、结构图中有清楚的表示。</w:t>
      </w:r>
    </w:p>
    <w:p>
      <w:pPr>
        <w:adjustRightInd w:val="0"/>
        <w:snapToGrid w:val="0"/>
        <w:spacing w:line="360" w:lineRule="auto"/>
        <w:ind w:firstLine="560" w:firstLineChars="200"/>
        <w:jc w:val="left"/>
        <w:rPr>
          <w:sz w:val="28"/>
          <w:highlight w:val="none"/>
        </w:rPr>
      </w:pPr>
      <w:r>
        <w:rPr>
          <w:rFonts w:hint="eastAsia"/>
          <w:sz w:val="28"/>
          <w:highlight w:val="none"/>
        </w:rPr>
        <w:t>2.9.6 插座、开关安装位置应避开水、暖、燃气等专业设施，按照平面功能要求进行合理配设插座位置、数量。</w:t>
      </w:r>
    </w:p>
    <w:p>
      <w:pPr>
        <w:adjustRightInd w:val="0"/>
        <w:snapToGrid w:val="0"/>
        <w:spacing w:line="360" w:lineRule="auto"/>
        <w:ind w:firstLine="560" w:firstLineChars="200"/>
        <w:jc w:val="left"/>
        <w:rPr>
          <w:sz w:val="28"/>
          <w:highlight w:val="none"/>
        </w:rPr>
      </w:pPr>
      <w:r>
        <w:rPr>
          <w:rFonts w:hint="eastAsia"/>
          <w:sz w:val="28"/>
          <w:highlight w:val="none"/>
        </w:rPr>
        <w:t>2.10 其他</w:t>
      </w:r>
    </w:p>
    <w:p>
      <w:pPr>
        <w:adjustRightInd w:val="0"/>
        <w:snapToGrid w:val="0"/>
        <w:spacing w:line="360" w:lineRule="auto"/>
        <w:ind w:firstLine="560" w:firstLineChars="200"/>
        <w:jc w:val="left"/>
        <w:rPr>
          <w:sz w:val="28"/>
          <w:highlight w:val="none"/>
        </w:rPr>
      </w:pPr>
      <w:r>
        <w:rPr>
          <w:rFonts w:hint="eastAsia"/>
          <w:sz w:val="28"/>
          <w:highlight w:val="none"/>
        </w:rPr>
        <w:t>2.10.1 电缆及电线选择应合理经济，避免高标低用，如根据消防及供电要求，电缆选用</w:t>
      </w:r>
      <w:r>
        <w:rPr>
          <w:sz w:val="28"/>
          <w:highlight w:val="none"/>
        </w:rPr>
        <w:t>YJV</w:t>
      </w:r>
      <w:r>
        <w:rPr>
          <w:rFonts w:hint="eastAsia"/>
          <w:sz w:val="28"/>
          <w:highlight w:val="none"/>
        </w:rPr>
        <w:t>、</w:t>
      </w:r>
      <w:r>
        <w:rPr>
          <w:sz w:val="28"/>
          <w:highlight w:val="none"/>
        </w:rPr>
        <w:t>ZRYJV</w:t>
      </w:r>
      <w:r>
        <w:rPr>
          <w:rFonts w:hint="eastAsia"/>
          <w:sz w:val="28"/>
          <w:highlight w:val="none"/>
        </w:rPr>
        <w:t>或</w:t>
      </w:r>
      <w:r>
        <w:rPr>
          <w:sz w:val="28"/>
          <w:highlight w:val="none"/>
        </w:rPr>
        <w:t>NHYJV</w:t>
      </w:r>
      <w:r>
        <w:rPr>
          <w:rFonts w:hint="eastAsia"/>
          <w:sz w:val="28"/>
          <w:highlight w:val="none"/>
        </w:rPr>
        <w:t>，电线选用普通型、阻燃型和耐火型。</w:t>
      </w:r>
    </w:p>
    <w:p>
      <w:pPr>
        <w:adjustRightInd w:val="0"/>
        <w:snapToGrid w:val="0"/>
        <w:spacing w:line="360" w:lineRule="auto"/>
        <w:ind w:firstLine="560" w:firstLineChars="200"/>
        <w:jc w:val="left"/>
        <w:rPr>
          <w:sz w:val="28"/>
          <w:highlight w:val="none"/>
        </w:rPr>
      </w:pPr>
      <w:r>
        <w:rPr>
          <w:rFonts w:hint="eastAsia"/>
          <w:sz w:val="28"/>
          <w:highlight w:val="none"/>
        </w:rPr>
        <w:t>2.10.2 水泵及空调启动控制箱（柜）由设备厂家配套。</w:t>
      </w:r>
    </w:p>
    <w:p>
      <w:pPr>
        <w:adjustRightInd w:val="0"/>
        <w:snapToGrid w:val="0"/>
        <w:spacing w:line="360" w:lineRule="auto"/>
        <w:ind w:firstLine="560" w:firstLineChars="200"/>
        <w:jc w:val="left"/>
        <w:rPr>
          <w:sz w:val="28"/>
          <w:highlight w:val="none"/>
        </w:rPr>
      </w:pPr>
      <w:r>
        <w:rPr>
          <w:rFonts w:hint="eastAsia"/>
          <w:sz w:val="28"/>
          <w:highlight w:val="none"/>
        </w:rPr>
        <w:t>2.10.3 在室外工程中，各种管线变标高的地方应绘出详图。</w:t>
      </w:r>
    </w:p>
    <w:p>
      <w:pPr>
        <w:adjustRightInd w:val="0"/>
        <w:snapToGrid w:val="0"/>
        <w:spacing w:line="360" w:lineRule="auto"/>
        <w:ind w:firstLine="560" w:firstLineChars="200"/>
        <w:jc w:val="left"/>
        <w:rPr>
          <w:sz w:val="28"/>
          <w:highlight w:val="none"/>
        </w:rPr>
      </w:pPr>
      <w:r>
        <w:rPr>
          <w:rFonts w:hint="eastAsia"/>
          <w:sz w:val="28"/>
          <w:highlight w:val="none"/>
        </w:rPr>
        <w:t>2.10.4 低压出线回路应考虑，对公共区域物业计量要求。</w:t>
      </w:r>
    </w:p>
    <w:p>
      <w:pPr>
        <w:adjustRightInd w:val="0"/>
        <w:snapToGrid w:val="0"/>
        <w:spacing w:line="360" w:lineRule="auto"/>
        <w:ind w:firstLine="560" w:firstLineChars="200"/>
        <w:jc w:val="left"/>
        <w:rPr>
          <w:sz w:val="28"/>
          <w:highlight w:val="none"/>
        </w:rPr>
      </w:pPr>
      <w:r>
        <w:rPr>
          <w:rFonts w:hint="eastAsia"/>
          <w:sz w:val="28"/>
          <w:highlight w:val="none"/>
        </w:rPr>
        <w:t>2.10.5 其他未尽事宜，按照国家相关规范设计。</w:t>
      </w:r>
    </w:p>
    <w:bookmarkEnd w:id="246"/>
    <w:bookmarkEnd w:id="247"/>
    <w:bookmarkEnd w:id="248"/>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r>
        <w:rPr>
          <w:rFonts w:hint="eastAsia" w:asciiTheme="majorEastAsia" w:hAnsiTheme="majorEastAsia" w:eastAsiaTheme="majorEastAsia"/>
          <w:highlight w:val="none"/>
        </w:rPr>
        <w:t>二、给排水部分</w:t>
      </w:r>
    </w:p>
    <w:p>
      <w:pPr>
        <w:adjustRightInd w:val="0"/>
        <w:snapToGrid w:val="0"/>
        <w:spacing w:line="360" w:lineRule="auto"/>
        <w:ind w:firstLine="560" w:firstLineChars="200"/>
        <w:jc w:val="left"/>
        <w:rPr>
          <w:sz w:val="28"/>
          <w:highlight w:val="none"/>
        </w:rPr>
      </w:pPr>
      <w:bookmarkStart w:id="253" w:name="_Toc9716"/>
      <w:bookmarkStart w:id="254" w:name="_Toc342057127"/>
      <w:bookmarkStart w:id="255" w:name="_Toc61006911"/>
      <w:r>
        <w:rPr>
          <w:rFonts w:hint="eastAsia"/>
          <w:sz w:val="28"/>
          <w:highlight w:val="none"/>
        </w:rPr>
        <w:t>1、设计范围及指标</w:t>
      </w:r>
      <w:bookmarkEnd w:id="253"/>
      <w:bookmarkEnd w:id="254"/>
      <w:bookmarkEnd w:id="255"/>
    </w:p>
    <w:p>
      <w:pPr>
        <w:adjustRightInd w:val="0"/>
        <w:snapToGrid w:val="0"/>
        <w:spacing w:line="360" w:lineRule="auto"/>
        <w:ind w:firstLine="560" w:firstLineChars="200"/>
        <w:jc w:val="left"/>
        <w:rPr>
          <w:sz w:val="28"/>
          <w:highlight w:val="none"/>
        </w:rPr>
      </w:pPr>
      <w:r>
        <w:rPr>
          <w:rFonts w:hint="eastAsia"/>
          <w:sz w:val="28"/>
          <w:highlight w:val="none"/>
        </w:rPr>
        <w:t>1.1 设计范围</w:t>
      </w:r>
    </w:p>
    <w:p>
      <w:pPr>
        <w:adjustRightInd w:val="0"/>
        <w:snapToGrid w:val="0"/>
        <w:spacing w:line="360" w:lineRule="auto"/>
        <w:ind w:firstLine="560" w:firstLineChars="200"/>
        <w:jc w:val="left"/>
        <w:rPr>
          <w:sz w:val="28"/>
          <w:highlight w:val="none"/>
        </w:rPr>
      </w:pPr>
      <w:r>
        <w:rPr>
          <w:rFonts w:hint="eastAsia"/>
          <w:sz w:val="28"/>
          <w:highlight w:val="none"/>
        </w:rPr>
        <w:t>给排水应按合同规定和规范要求的设计范围进行设计。</w:t>
      </w:r>
    </w:p>
    <w:p>
      <w:pPr>
        <w:adjustRightInd w:val="0"/>
        <w:snapToGrid w:val="0"/>
        <w:spacing w:line="360" w:lineRule="auto"/>
        <w:ind w:firstLine="560" w:firstLineChars="200"/>
        <w:jc w:val="left"/>
        <w:rPr>
          <w:sz w:val="28"/>
          <w:highlight w:val="none"/>
        </w:rPr>
      </w:pPr>
      <w:r>
        <w:rPr>
          <w:rFonts w:hint="eastAsia"/>
          <w:sz w:val="28"/>
          <w:highlight w:val="none"/>
        </w:rPr>
        <w:t>1.2 设计指标</w:t>
      </w:r>
    </w:p>
    <w:p>
      <w:pPr>
        <w:adjustRightInd w:val="0"/>
        <w:snapToGrid w:val="0"/>
        <w:spacing w:line="360" w:lineRule="auto"/>
        <w:ind w:firstLine="560" w:firstLineChars="200"/>
        <w:jc w:val="left"/>
        <w:rPr>
          <w:sz w:val="28"/>
          <w:highlight w:val="none"/>
        </w:rPr>
      </w:pPr>
      <w:r>
        <w:rPr>
          <w:rFonts w:hint="eastAsia"/>
          <w:sz w:val="28"/>
          <w:highlight w:val="none"/>
        </w:rPr>
        <w:t>给排水量及管网压力按国家规定的有关指标并结合当地实际情况进行计算。</w:t>
      </w:r>
    </w:p>
    <w:p>
      <w:pPr>
        <w:adjustRightInd w:val="0"/>
        <w:snapToGrid w:val="0"/>
        <w:spacing w:line="360" w:lineRule="auto"/>
        <w:ind w:firstLine="560" w:firstLineChars="200"/>
        <w:jc w:val="left"/>
        <w:rPr>
          <w:sz w:val="28"/>
          <w:highlight w:val="none"/>
        </w:rPr>
      </w:pPr>
      <w:r>
        <w:rPr>
          <w:rFonts w:hint="eastAsia"/>
          <w:sz w:val="28"/>
          <w:highlight w:val="none"/>
        </w:rPr>
        <w:t>1.3 市政水源</w:t>
      </w:r>
    </w:p>
    <w:p>
      <w:pPr>
        <w:adjustRightInd w:val="0"/>
        <w:snapToGrid w:val="0"/>
        <w:spacing w:line="360" w:lineRule="auto"/>
        <w:ind w:firstLine="560" w:firstLineChars="200"/>
        <w:jc w:val="left"/>
        <w:rPr>
          <w:sz w:val="28"/>
          <w:highlight w:val="none"/>
        </w:rPr>
      </w:pPr>
      <w:r>
        <w:rPr>
          <w:rFonts w:hint="eastAsia"/>
          <w:sz w:val="28"/>
          <w:highlight w:val="none"/>
        </w:rPr>
        <w:t>市政管道压力了解实际情况。</w:t>
      </w:r>
    </w:p>
    <w:p>
      <w:pPr>
        <w:adjustRightInd w:val="0"/>
        <w:snapToGrid w:val="0"/>
        <w:spacing w:line="360" w:lineRule="auto"/>
        <w:ind w:firstLine="560" w:firstLineChars="200"/>
        <w:jc w:val="left"/>
        <w:rPr>
          <w:sz w:val="28"/>
          <w:highlight w:val="none"/>
        </w:rPr>
      </w:pPr>
      <w:bookmarkStart w:id="256" w:name="_Toc61006912"/>
      <w:bookmarkStart w:id="257" w:name="_Toc342057128"/>
      <w:bookmarkStart w:id="258" w:name="_Toc4736"/>
      <w:r>
        <w:rPr>
          <w:rFonts w:hint="eastAsia"/>
          <w:sz w:val="28"/>
          <w:highlight w:val="none"/>
        </w:rPr>
        <w:t>2、设计注意事项及习惯做法</w:t>
      </w:r>
      <w:bookmarkEnd w:id="256"/>
      <w:bookmarkEnd w:id="257"/>
      <w:bookmarkEnd w:id="258"/>
    </w:p>
    <w:p>
      <w:pPr>
        <w:adjustRightInd w:val="0"/>
        <w:snapToGrid w:val="0"/>
        <w:spacing w:line="360" w:lineRule="auto"/>
        <w:ind w:firstLine="560" w:firstLineChars="200"/>
        <w:jc w:val="left"/>
        <w:rPr>
          <w:sz w:val="28"/>
          <w:highlight w:val="none"/>
        </w:rPr>
      </w:pPr>
      <w:r>
        <w:rPr>
          <w:rFonts w:hint="eastAsia"/>
          <w:sz w:val="28"/>
          <w:highlight w:val="none"/>
        </w:rPr>
        <w:t>2.1 室外给排水总体要求</w:t>
      </w:r>
    </w:p>
    <w:p>
      <w:pPr>
        <w:adjustRightInd w:val="0"/>
        <w:snapToGrid w:val="0"/>
        <w:spacing w:line="360" w:lineRule="auto"/>
        <w:ind w:firstLine="560" w:firstLineChars="200"/>
        <w:jc w:val="left"/>
        <w:rPr>
          <w:sz w:val="28"/>
          <w:highlight w:val="none"/>
        </w:rPr>
      </w:pPr>
      <w:r>
        <w:rPr>
          <w:rFonts w:hint="eastAsia"/>
          <w:sz w:val="28"/>
          <w:highlight w:val="none"/>
        </w:rPr>
        <w:t>2.1.1 本项目应有两路供水，如只有一路供水，则消防水池需考虑室外消防用水量，室外消防管网在红线内单独成环。并按规范要求设置室外消火栓。</w:t>
      </w:r>
    </w:p>
    <w:p>
      <w:pPr>
        <w:adjustRightInd w:val="0"/>
        <w:snapToGrid w:val="0"/>
        <w:spacing w:line="360" w:lineRule="auto"/>
        <w:ind w:firstLine="560" w:firstLineChars="200"/>
        <w:jc w:val="left"/>
        <w:rPr>
          <w:sz w:val="28"/>
          <w:highlight w:val="none"/>
        </w:rPr>
      </w:pPr>
      <w:r>
        <w:rPr>
          <w:rFonts w:hint="eastAsia"/>
          <w:sz w:val="28"/>
          <w:highlight w:val="none"/>
        </w:rPr>
        <w:t>生活给水设置要求：整个项目采用一套加压给水系统，各栋楼入户处单独设总水表计量，水表采用远传水表。</w:t>
      </w:r>
    </w:p>
    <w:p>
      <w:pPr>
        <w:adjustRightInd w:val="0"/>
        <w:snapToGrid w:val="0"/>
        <w:spacing w:line="360" w:lineRule="auto"/>
        <w:ind w:firstLine="560" w:firstLineChars="200"/>
        <w:jc w:val="left"/>
        <w:rPr>
          <w:sz w:val="28"/>
          <w:highlight w:val="none"/>
        </w:rPr>
      </w:pPr>
      <w:r>
        <w:rPr>
          <w:rFonts w:hint="eastAsia"/>
          <w:sz w:val="28"/>
          <w:highlight w:val="none"/>
        </w:rPr>
        <w:t>2.1.2  室外设置绿化及冲洗地面用水，每隔70至80m的距离设置一个DN25给水栓（目前暂按此要求设置，以后景观设计如有其他需求，再作调整），原则是给水栓应设置在室外行人难以接触的部位，室外给水需设水表计量。</w:t>
      </w:r>
    </w:p>
    <w:p>
      <w:pPr>
        <w:adjustRightInd w:val="0"/>
        <w:snapToGrid w:val="0"/>
        <w:spacing w:line="360" w:lineRule="auto"/>
        <w:ind w:firstLine="560" w:firstLineChars="200"/>
        <w:jc w:val="left"/>
        <w:rPr>
          <w:sz w:val="28"/>
          <w:highlight w:val="none"/>
        </w:rPr>
      </w:pPr>
      <w:r>
        <w:rPr>
          <w:rFonts w:hint="eastAsia"/>
          <w:sz w:val="28"/>
          <w:highlight w:val="none"/>
        </w:rPr>
        <w:t>2.1.3  污水雨水分流。</w:t>
      </w:r>
    </w:p>
    <w:p>
      <w:pPr>
        <w:adjustRightInd w:val="0"/>
        <w:snapToGrid w:val="0"/>
        <w:spacing w:line="360" w:lineRule="auto"/>
        <w:ind w:firstLine="560" w:firstLineChars="200"/>
        <w:jc w:val="left"/>
        <w:rPr>
          <w:sz w:val="28"/>
          <w:highlight w:val="none"/>
        </w:rPr>
      </w:pPr>
      <w:r>
        <w:rPr>
          <w:rFonts w:hint="eastAsia"/>
          <w:sz w:val="28"/>
          <w:highlight w:val="none"/>
        </w:rPr>
        <w:t>2.1.4 上盖物业所有的排水，均通过站房四周管井，排至地面；化粪池有站房室外统一考虑。</w:t>
      </w:r>
    </w:p>
    <w:p>
      <w:pPr>
        <w:adjustRightInd w:val="0"/>
        <w:snapToGrid w:val="0"/>
        <w:spacing w:line="360" w:lineRule="auto"/>
        <w:ind w:firstLine="560" w:firstLineChars="200"/>
        <w:jc w:val="left"/>
        <w:rPr>
          <w:sz w:val="28"/>
          <w:highlight w:val="none"/>
        </w:rPr>
      </w:pPr>
      <w:r>
        <w:rPr>
          <w:rFonts w:hint="eastAsia"/>
          <w:sz w:val="28"/>
          <w:highlight w:val="none"/>
        </w:rPr>
        <w:t xml:space="preserve"> 2.1.5 室外绿化排水在满足美观前提下，可综合考虑多孔管与雨水暗沟等排水方式。</w:t>
      </w:r>
    </w:p>
    <w:p>
      <w:pPr>
        <w:adjustRightInd w:val="0"/>
        <w:snapToGrid w:val="0"/>
        <w:spacing w:line="360" w:lineRule="auto"/>
        <w:ind w:firstLine="560" w:firstLineChars="200"/>
        <w:jc w:val="left"/>
        <w:rPr>
          <w:sz w:val="28"/>
          <w:highlight w:val="none"/>
        </w:rPr>
      </w:pPr>
      <w:r>
        <w:rPr>
          <w:rFonts w:hint="eastAsia"/>
          <w:sz w:val="28"/>
          <w:highlight w:val="none"/>
        </w:rPr>
        <w:t>2.2 室内给排水总体要求</w:t>
      </w:r>
    </w:p>
    <w:p>
      <w:pPr>
        <w:adjustRightInd w:val="0"/>
        <w:snapToGrid w:val="0"/>
        <w:spacing w:line="360" w:lineRule="auto"/>
        <w:ind w:firstLine="560" w:firstLineChars="200"/>
        <w:jc w:val="left"/>
        <w:rPr>
          <w:sz w:val="28"/>
          <w:highlight w:val="none"/>
        </w:rPr>
      </w:pPr>
      <w:r>
        <w:rPr>
          <w:rFonts w:hint="eastAsia"/>
          <w:sz w:val="28"/>
          <w:highlight w:val="none"/>
        </w:rPr>
        <w:t>2.2.1 消防设计的总体要求：</w:t>
      </w:r>
      <w:r>
        <w:rPr>
          <w:sz w:val="28"/>
          <w:highlight w:val="none"/>
        </w:rPr>
        <w:t xml:space="preserve"> </w:t>
      </w:r>
    </w:p>
    <w:p>
      <w:pPr>
        <w:adjustRightInd w:val="0"/>
        <w:snapToGrid w:val="0"/>
        <w:spacing w:line="360" w:lineRule="auto"/>
        <w:ind w:firstLine="560" w:firstLineChars="200"/>
        <w:jc w:val="left"/>
        <w:rPr>
          <w:sz w:val="28"/>
          <w:highlight w:val="none"/>
        </w:rPr>
      </w:pPr>
      <w:r>
        <w:rPr>
          <w:rFonts w:hint="eastAsia"/>
          <w:sz w:val="28"/>
          <w:highlight w:val="none"/>
        </w:rPr>
        <w:t>（1）发电机房设置管网气体灭火系统（不采用水喷雾系统）。</w:t>
      </w:r>
    </w:p>
    <w:p>
      <w:pPr>
        <w:adjustRightInd w:val="0"/>
        <w:snapToGrid w:val="0"/>
        <w:spacing w:line="360" w:lineRule="auto"/>
        <w:ind w:firstLine="560" w:firstLineChars="200"/>
        <w:jc w:val="left"/>
        <w:rPr>
          <w:sz w:val="28"/>
          <w:highlight w:val="none"/>
        </w:rPr>
      </w:pPr>
      <w:r>
        <w:rPr>
          <w:rFonts w:hint="eastAsia"/>
          <w:sz w:val="28"/>
          <w:highlight w:val="none"/>
        </w:rPr>
        <w:t>（2）报警阀间：报警阀间设在地下车库，利用停车位的空隙设置。塔楼的报警阀间可设在设备层或最上层的裙房位置。</w:t>
      </w:r>
    </w:p>
    <w:p>
      <w:pPr>
        <w:adjustRightInd w:val="0"/>
        <w:snapToGrid w:val="0"/>
        <w:spacing w:line="360" w:lineRule="auto"/>
        <w:ind w:firstLine="560" w:firstLineChars="200"/>
        <w:jc w:val="left"/>
        <w:rPr>
          <w:sz w:val="28"/>
          <w:highlight w:val="none"/>
        </w:rPr>
      </w:pPr>
      <w:r>
        <w:rPr>
          <w:rFonts w:hint="eastAsia"/>
          <w:sz w:val="28"/>
          <w:highlight w:val="none"/>
        </w:rPr>
        <w:t>（3）消防泵房和消防水池：整个项目采用一套消防系统。消防泵房和消防水池的位置应适中。消防水箱放在本项目的最高点，喷淋和消火栓系统均应设置稳压系统，稳压系统设置</w:t>
      </w:r>
      <w:r>
        <w:rPr>
          <w:rFonts w:hint="eastAsia"/>
          <w:sz w:val="28"/>
          <w:highlight w:val="none"/>
        </w:rPr>
        <w:t>在消防泵房内</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2.2.2 给水总体要求：根据该地块市政管网的压力值，确定采取何种给水方式，原则是尽量利用市政压力。</w:t>
      </w:r>
    </w:p>
    <w:p>
      <w:pPr>
        <w:adjustRightInd w:val="0"/>
        <w:snapToGrid w:val="0"/>
        <w:spacing w:line="360" w:lineRule="auto"/>
        <w:ind w:firstLine="560" w:firstLineChars="200"/>
        <w:jc w:val="left"/>
        <w:rPr>
          <w:sz w:val="28"/>
          <w:highlight w:val="none"/>
        </w:rPr>
      </w:pPr>
      <w:r>
        <w:rPr>
          <w:rFonts w:hint="eastAsia"/>
          <w:sz w:val="28"/>
          <w:highlight w:val="none"/>
        </w:rPr>
        <w:t>（1）裙房加压形式采用变频泵供水。水箱的材质为不锈钢。</w:t>
      </w:r>
    </w:p>
    <w:p>
      <w:pPr>
        <w:adjustRightInd w:val="0"/>
        <w:snapToGrid w:val="0"/>
        <w:spacing w:line="360" w:lineRule="auto"/>
        <w:ind w:firstLine="560" w:firstLineChars="200"/>
        <w:jc w:val="left"/>
        <w:rPr>
          <w:sz w:val="28"/>
          <w:highlight w:val="none"/>
        </w:rPr>
      </w:pPr>
      <w:r>
        <w:rPr>
          <w:rFonts w:hint="eastAsia"/>
          <w:sz w:val="28"/>
          <w:highlight w:val="none"/>
        </w:rPr>
        <w:t>（2）商业物业用水水表设置原则所有公共区域的用水（包括消防水池，消防水箱、卫生间、垃圾房、污水间、室内外绿化及冲洗点）均设置水表计量。</w:t>
      </w:r>
    </w:p>
    <w:p>
      <w:pPr>
        <w:adjustRightInd w:val="0"/>
        <w:snapToGrid w:val="0"/>
        <w:spacing w:line="360" w:lineRule="auto"/>
        <w:ind w:firstLine="560" w:firstLineChars="200"/>
        <w:jc w:val="left"/>
        <w:rPr>
          <w:sz w:val="28"/>
          <w:highlight w:val="none"/>
        </w:rPr>
      </w:pPr>
      <w:r>
        <w:rPr>
          <w:rFonts w:hint="eastAsia"/>
          <w:sz w:val="28"/>
          <w:highlight w:val="none"/>
        </w:rPr>
        <w:t>（3）垃圾房用水：独立系统业态的垃圾房给水引自其各自的用水管。公用的垃圾房给水引自商业物业用水。垃圾房给水管径为DN25。</w:t>
      </w:r>
    </w:p>
    <w:p>
      <w:pPr>
        <w:adjustRightInd w:val="0"/>
        <w:snapToGrid w:val="0"/>
        <w:spacing w:line="360" w:lineRule="auto"/>
        <w:ind w:firstLine="560" w:firstLineChars="200"/>
        <w:jc w:val="left"/>
        <w:rPr>
          <w:sz w:val="28"/>
          <w:highlight w:val="none"/>
        </w:rPr>
      </w:pPr>
      <w:r>
        <w:rPr>
          <w:rFonts w:hint="eastAsia"/>
          <w:sz w:val="28"/>
          <w:highlight w:val="none"/>
        </w:rPr>
        <w:t>（4）给水管材除卫生间用PPR管外，其余均</w:t>
      </w:r>
      <w:r>
        <w:rPr>
          <w:rFonts w:hint="eastAsia"/>
          <w:sz w:val="28"/>
          <w:highlight w:val="none"/>
        </w:rPr>
        <w:t>采用薄壁不锈钢管。</w:t>
      </w:r>
    </w:p>
    <w:p>
      <w:pPr>
        <w:adjustRightInd w:val="0"/>
        <w:snapToGrid w:val="0"/>
        <w:spacing w:line="360" w:lineRule="auto"/>
        <w:ind w:firstLine="560" w:firstLineChars="200"/>
        <w:jc w:val="left"/>
        <w:rPr>
          <w:sz w:val="28"/>
          <w:highlight w:val="none"/>
        </w:rPr>
      </w:pPr>
      <w:r>
        <w:rPr>
          <w:rFonts w:hint="eastAsia"/>
          <w:sz w:val="28"/>
          <w:highlight w:val="none"/>
        </w:rPr>
        <w:t>（5）集中式配套商业的卫生间，龙头为感应式，小便斗为感应式，</w:t>
      </w:r>
      <w:r>
        <w:rPr>
          <w:rFonts w:hint="eastAsia"/>
          <w:sz w:val="28"/>
          <w:highlight w:val="none"/>
        </w:rPr>
        <w:t>蹲便器采用感应式冲洗阀或延时自闭式冲洗阀。</w:t>
      </w:r>
    </w:p>
    <w:p>
      <w:pPr>
        <w:adjustRightInd w:val="0"/>
        <w:snapToGrid w:val="0"/>
        <w:spacing w:line="360" w:lineRule="auto"/>
        <w:ind w:firstLine="560" w:firstLineChars="200"/>
        <w:jc w:val="left"/>
        <w:rPr>
          <w:sz w:val="28"/>
          <w:highlight w:val="none"/>
        </w:rPr>
      </w:pPr>
      <w:r>
        <w:rPr>
          <w:rFonts w:hint="eastAsia"/>
          <w:sz w:val="28"/>
          <w:highlight w:val="none"/>
        </w:rPr>
        <w:t>（6）水管井（如有）要有详细的平面布置图，结合水表大小，日后维护操作空间等综合考虑，不得仅作示意，保证管井的大小合适</w:t>
      </w:r>
    </w:p>
    <w:p>
      <w:pPr>
        <w:adjustRightInd w:val="0"/>
        <w:snapToGrid w:val="0"/>
        <w:spacing w:line="360" w:lineRule="auto"/>
        <w:ind w:firstLine="560" w:firstLineChars="200"/>
        <w:jc w:val="left"/>
        <w:rPr>
          <w:sz w:val="28"/>
          <w:highlight w:val="none"/>
        </w:rPr>
      </w:pPr>
      <w:r>
        <w:rPr>
          <w:rFonts w:hint="eastAsia"/>
          <w:sz w:val="28"/>
          <w:highlight w:val="none"/>
        </w:rPr>
        <w:t>（7）高层办公管道井内应考虑排水措施及照明，管井的空间大小应考虑维修及抄表方便，水管井内考虑防水要求。</w:t>
      </w:r>
    </w:p>
    <w:p>
      <w:pPr>
        <w:adjustRightInd w:val="0"/>
        <w:snapToGrid w:val="0"/>
        <w:spacing w:line="360" w:lineRule="auto"/>
        <w:ind w:firstLine="560" w:firstLineChars="200"/>
        <w:jc w:val="left"/>
        <w:rPr>
          <w:sz w:val="28"/>
          <w:highlight w:val="none"/>
        </w:rPr>
      </w:pPr>
      <w:r>
        <w:rPr>
          <w:rFonts w:hint="eastAsia"/>
          <w:sz w:val="28"/>
          <w:highlight w:val="none"/>
        </w:rPr>
        <w:t>2.2.3排水总体要求：</w:t>
      </w:r>
    </w:p>
    <w:p>
      <w:pPr>
        <w:adjustRightInd w:val="0"/>
        <w:snapToGrid w:val="0"/>
        <w:spacing w:line="360" w:lineRule="auto"/>
        <w:ind w:firstLine="560" w:firstLineChars="200"/>
        <w:jc w:val="left"/>
        <w:rPr>
          <w:sz w:val="28"/>
          <w:highlight w:val="none"/>
        </w:rPr>
      </w:pPr>
      <w:r>
        <w:rPr>
          <w:rFonts w:hint="eastAsia"/>
          <w:sz w:val="28"/>
          <w:highlight w:val="none"/>
        </w:rPr>
        <w:t>（1）尽量重力自流，如不可行，可排入地下室设置的污水处理间内的集水池，然后压力排出。</w:t>
      </w:r>
    </w:p>
    <w:p>
      <w:pPr>
        <w:adjustRightInd w:val="0"/>
        <w:snapToGrid w:val="0"/>
        <w:spacing w:line="360" w:lineRule="auto"/>
        <w:ind w:firstLine="560" w:firstLineChars="200"/>
        <w:jc w:val="left"/>
        <w:rPr>
          <w:sz w:val="28"/>
          <w:highlight w:val="none"/>
        </w:rPr>
      </w:pPr>
      <w:r>
        <w:rPr>
          <w:rFonts w:hint="eastAsia"/>
          <w:sz w:val="28"/>
          <w:highlight w:val="none"/>
        </w:rPr>
        <w:t>（2）各栋楼的配套商业（餐饮）合用一套隔油池，隔油池设置在设备层。</w:t>
      </w:r>
    </w:p>
    <w:p>
      <w:pPr>
        <w:adjustRightInd w:val="0"/>
        <w:snapToGrid w:val="0"/>
        <w:spacing w:line="360" w:lineRule="auto"/>
        <w:ind w:firstLine="560" w:firstLineChars="200"/>
        <w:jc w:val="left"/>
        <w:rPr>
          <w:sz w:val="28"/>
          <w:highlight w:val="none"/>
        </w:rPr>
      </w:pPr>
      <w:r>
        <w:rPr>
          <w:rFonts w:hint="eastAsia"/>
          <w:sz w:val="28"/>
          <w:highlight w:val="none"/>
        </w:rPr>
        <w:t>（3）有排水管的部位尽量设置管井。</w:t>
      </w:r>
    </w:p>
    <w:p>
      <w:pPr>
        <w:adjustRightInd w:val="0"/>
        <w:snapToGrid w:val="0"/>
        <w:spacing w:line="360" w:lineRule="auto"/>
        <w:ind w:firstLine="560" w:firstLineChars="200"/>
        <w:jc w:val="left"/>
        <w:rPr>
          <w:rFonts w:hint="eastAsia"/>
          <w:highlight w:val="none"/>
        </w:rPr>
      </w:pPr>
      <w:r>
        <w:rPr>
          <w:rFonts w:hint="eastAsia"/>
          <w:sz w:val="28"/>
          <w:highlight w:val="none"/>
        </w:rPr>
        <w:t>（4）地下室污水处理间的设置。</w:t>
      </w:r>
      <w:r>
        <w:rPr>
          <w:sz w:val="28"/>
          <w:highlight w:val="none"/>
        </w:rPr>
        <w:t>以下</w:t>
      </w:r>
      <w:r>
        <w:rPr>
          <w:rFonts w:hint="eastAsia"/>
          <w:sz w:val="28"/>
          <w:highlight w:val="none"/>
        </w:rPr>
        <w:t>部位</w:t>
      </w:r>
      <w:r>
        <w:rPr>
          <w:sz w:val="28"/>
          <w:highlight w:val="none"/>
        </w:rPr>
        <w:t>需设集水池：泵房</w:t>
      </w:r>
      <w:r>
        <w:rPr>
          <w:rFonts w:hint="eastAsia"/>
          <w:sz w:val="28"/>
          <w:highlight w:val="none"/>
        </w:rPr>
        <w:t>。</w:t>
      </w:r>
    </w:p>
    <w:p>
      <w:pPr>
        <w:pStyle w:val="3"/>
        <w:ind w:firstLine="560" w:firstLineChars="200"/>
        <w:rPr>
          <w:sz w:val="28"/>
          <w:highlight w:val="none"/>
        </w:rPr>
      </w:pPr>
      <w:r>
        <w:rPr>
          <w:rFonts w:hint="eastAsia"/>
          <w:sz w:val="28"/>
          <w:highlight w:val="none"/>
        </w:rPr>
        <w:t>（5）</w:t>
      </w:r>
      <w:r>
        <w:rPr>
          <w:rFonts w:hint="eastAsia"/>
          <w:sz w:val="28"/>
          <w:highlight w:val="none"/>
        </w:rPr>
        <w:t>裙房卫生间：排水管采用UPVC管。</w:t>
      </w:r>
    </w:p>
    <w:p>
      <w:pPr>
        <w:adjustRightInd w:val="0"/>
        <w:snapToGrid w:val="0"/>
        <w:spacing w:line="360" w:lineRule="auto"/>
        <w:ind w:firstLine="560" w:firstLineChars="200"/>
        <w:jc w:val="left"/>
        <w:rPr>
          <w:sz w:val="28"/>
          <w:highlight w:val="none"/>
        </w:rPr>
      </w:pPr>
      <w:r>
        <w:rPr>
          <w:rFonts w:hint="eastAsia"/>
          <w:sz w:val="28"/>
          <w:highlight w:val="none"/>
        </w:rPr>
        <w:t>（6）地下室</w:t>
      </w:r>
      <w:r>
        <w:rPr>
          <w:sz w:val="28"/>
          <w:highlight w:val="none"/>
        </w:rPr>
        <w:t>排水沟的设置：以下</w:t>
      </w:r>
      <w:r>
        <w:rPr>
          <w:rFonts w:hint="eastAsia"/>
          <w:sz w:val="28"/>
          <w:highlight w:val="none"/>
        </w:rPr>
        <w:t>部位</w:t>
      </w:r>
      <w:r>
        <w:rPr>
          <w:sz w:val="28"/>
          <w:highlight w:val="none"/>
        </w:rPr>
        <w:t>需设置排水沟：生活泵房、消防泵房、</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7</w:t>
      </w:r>
      <w:r>
        <w:rPr>
          <w:rFonts w:hint="eastAsia"/>
          <w:sz w:val="28"/>
          <w:highlight w:val="none"/>
        </w:rPr>
        <w:t>）雨水设计要求</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8</w:t>
      </w:r>
      <w:r>
        <w:rPr>
          <w:rFonts w:hint="eastAsia"/>
          <w:sz w:val="28"/>
          <w:highlight w:val="none"/>
        </w:rPr>
        <w:t>）塔楼采用重力式雨水系统（或虹吸雨水系统）。雨水管根据当地习惯做法采用铸铁管或者其它管材。</w:t>
      </w:r>
    </w:p>
    <w:p>
      <w:pPr>
        <w:adjustRightInd w:val="0"/>
        <w:snapToGrid w:val="0"/>
        <w:spacing w:line="360" w:lineRule="auto"/>
        <w:ind w:firstLine="560" w:firstLineChars="200"/>
        <w:jc w:val="left"/>
        <w:rPr>
          <w:sz w:val="28"/>
          <w:highlight w:val="none"/>
        </w:rPr>
      </w:pPr>
      <w:r>
        <w:rPr>
          <w:rFonts w:hint="eastAsia"/>
          <w:sz w:val="28"/>
          <w:highlight w:val="none"/>
        </w:rPr>
        <w:t>（</w:t>
      </w:r>
      <w:r>
        <w:rPr>
          <w:sz w:val="28"/>
          <w:highlight w:val="none"/>
        </w:rPr>
        <w:t>9</w:t>
      </w:r>
      <w:r>
        <w:rPr>
          <w:rFonts w:hint="eastAsia"/>
          <w:sz w:val="28"/>
          <w:highlight w:val="none"/>
        </w:rPr>
        <w:t>）裙房屋面采用天沟排水。</w:t>
      </w:r>
    </w:p>
    <w:p>
      <w:pPr>
        <w:adjustRightInd w:val="0"/>
        <w:snapToGrid w:val="0"/>
        <w:spacing w:line="360" w:lineRule="auto"/>
        <w:ind w:firstLine="560" w:firstLineChars="200"/>
        <w:jc w:val="left"/>
        <w:rPr>
          <w:sz w:val="28"/>
          <w:highlight w:val="none"/>
        </w:rPr>
      </w:pPr>
      <w:r>
        <w:rPr>
          <w:rFonts w:hint="eastAsia"/>
          <w:sz w:val="28"/>
          <w:highlight w:val="none"/>
        </w:rPr>
        <w:t>2.3 各业态给排水要求</w:t>
      </w:r>
    </w:p>
    <w:p>
      <w:pPr>
        <w:adjustRightInd w:val="0"/>
        <w:snapToGrid w:val="0"/>
        <w:spacing w:line="360" w:lineRule="auto"/>
        <w:ind w:firstLine="560" w:firstLineChars="200"/>
        <w:jc w:val="left"/>
        <w:rPr>
          <w:sz w:val="28"/>
          <w:highlight w:val="none"/>
        </w:rPr>
      </w:pPr>
      <w:r>
        <w:rPr>
          <w:rFonts w:hint="eastAsia"/>
          <w:sz w:val="28"/>
          <w:highlight w:val="none"/>
        </w:rPr>
        <w:t>2.3.1裙房大餐饮</w:t>
      </w:r>
    </w:p>
    <w:p>
      <w:pPr>
        <w:adjustRightInd w:val="0"/>
        <w:snapToGrid w:val="0"/>
        <w:spacing w:line="360" w:lineRule="auto"/>
        <w:ind w:firstLine="560" w:firstLineChars="200"/>
        <w:jc w:val="left"/>
        <w:rPr>
          <w:sz w:val="28"/>
          <w:highlight w:val="none"/>
        </w:rPr>
      </w:pPr>
      <w:r>
        <w:rPr>
          <w:rFonts w:hint="eastAsia"/>
          <w:sz w:val="28"/>
          <w:highlight w:val="none"/>
        </w:rPr>
        <w:t>（1）除卫生间外，配套商业均需预留给水、排水点。内部给水、排水由装修完成。</w:t>
      </w:r>
    </w:p>
    <w:p>
      <w:pPr>
        <w:adjustRightInd w:val="0"/>
        <w:snapToGrid w:val="0"/>
        <w:spacing w:line="360" w:lineRule="auto"/>
        <w:ind w:firstLine="560" w:firstLineChars="200"/>
        <w:jc w:val="left"/>
        <w:rPr>
          <w:sz w:val="28"/>
          <w:highlight w:val="none"/>
        </w:rPr>
      </w:pPr>
      <w:r>
        <w:rPr>
          <w:rFonts w:hint="eastAsia"/>
          <w:sz w:val="28"/>
          <w:highlight w:val="none"/>
        </w:rPr>
        <w:t>（2）消火栓：按大空间完成设计。待二次装修再行调整。</w:t>
      </w:r>
    </w:p>
    <w:p>
      <w:pPr>
        <w:adjustRightInd w:val="0"/>
        <w:snapToGrid w:val="0"/>
        <w:spacing w:line="360" w:lineRule="auto"/>
        <w:ind w:firstLine="560" w:firstLineChars="200"/>
        <w:jc w:val="left"/>
        <w:rPr>
          <w:sz w:val="28"/>
          <w:highlight w:val="none"/>
        </w:rPr>
      </w:pPr>
      <w:r>
        <w:rPr>
          <w:rFonts w:hint="eastAsia"/>
          <w:sz w:val="28"/>
          <w:highlight w:val="none"/>
        </w:rPr>
        <w:t>（3）喷淋：按有吊顶、大空间完成设计，待二次装修确定后再行调整。</w:t>
      </w:r>
    </w:p>
    <w:p>
      <w:pPr>
        <w:adjustRightInd w:val="0"/>
        <w:snapToGrid w:val="0"/>
        <w:spacing w:line="360" w:lineRule="auto"/>
        <w:ind w:firstLine="560" w:firstLineChars="200"/>
        <w:jc w:val="left"/>
        <w:rPr>
          <w:sz w:val="28"/>
          <w:highlight w:val="none"/>
        </w:rPr>
      </w:pPr>
      <w:r>
        <w:rPr>
          <w:rFonts w:hint="eastAsia"/>
          <w:sz w:val="28"/>
          <w:highlight w:val="none"/>
        </w:rPr>
        <w:t>2.3.2裙房商铺</w:t>
      </w:r>
    </w:p>
    <w:p>
      <w:pPr>
        <w:adjustRightInd w:val="0"/>
        <w:snapToGrid w:val="0"/>
        <w:spacing w:line="360" w:lineRule="auto"/>
        <w:ind w:firstLine="560" w:firstLineChars="200"/>
        <w:jc w:val="left"/>
        <w:rPr>
          <w:sz w:val="28"/>
          <w:highlight w:val="none"/>
        </w:rPr>
      </w:pPr>
      <w:r>
        <w:rPr>
          <w:rFonts w:hint="eastAsia"/>
          <w:sz w:val="28"/>
          <w:highlight w:val="none"/>
        </w:rPr>
        <w:t>（1）给水设置要求</w:t>
      </w:r>
    </w:p>
    <w:p>
      <w:pPr>
        <w:adjustRightInd w:val="0"/>
        <w:snapToGrid w:val="0"/>
        <w:spacing w:line="360" w:lineRule="auto"/>
        <w:ind w:firstLine="560" w:firstLineChars="200"/>
        <w:jc w:val="left"/>
        <w:rPr>
          <w:sz w:val="28"/>
          <w:highlight w:val="none"/>
        </w:rPr>
      </w:pPr>
      <w:r>
        <w:rPr>
          <w:rFonts w:hint="eastAsia"/>
          <w:sz w:val="28"/>
          <w:highlight w:val="none"/>
        </w:rPr>
        <w:t>除公共卫生间外，每个需要用水的铺位</w:t>
      </w:r>
      <w:r>
        <w:rPr>
          <w:rFonts w:hint="eastAsia"/>
          <w:sz w:val="28"/>
          <w:highlight w:val="none"/>
        </w:rPr>
        <w:t>在离地面1m高位置</w:t>
      </w:r>
      <w:r>
        <w:rPr>
          <w:rFonts w:hint="eastAsia"/>
          <w:sz w:val="28"/>
          <w:highlight w:val="none"/>
        </w:rPr>
        <w:t>预留一处DN25的给水支管、阀门及水表，水表采用远传水表。</w:t>
      </w:r>
    </w:p>
    <w:p>
      <w:pPr>
        <w:adjustRightInd w:val="0"/>
        <w:snapToGrid w:val="0"/>
        <w:spacing w:line="360" w:lineRule="auto"/>
        <w:ind w:left="210" w:leftChars="100" w:firstLine="280" w:firstLineChars="100"/>
        <w:jc w:val="left"/>
        <w:rPr>
          <w:sz w:val="28"/>
          <w:highlight w:val="none"/>
        </w:rPr>
      </w:pPr>
      <w:r>
        <w:rPr>
          <w:rFonts w:hint="eastAsia"/>
          <w:sz w:val="28"/>
          <w:highlight w:val="none"/>
        </w:rPr>
        <w:t>（2）排水</w:t>
      </w:r>
      <w:r>
        <w:rPr>
          <w:rFonts w:hint="eastAsia"/>
          <w:sz w:val="28"/>
          <w:highlight w:val="none"/>
        </w:rPr>
        <w:br w:type="textWrapping"/>
      </w:r>
      <w:r>
        <w:rPr>
          <w:rFonts w:hint="eastAsia"/>
          <w:sz w:val="28"/>
          <w:highlight w:val="none"/>
        </w:rPr>
        <w:t>每个铺位在适当的位置（靠内墙或柱的位置）预留一处排水点，排水排至室外。</w:t>
      </w:r>
    </w:p>
    <w:p>
      <w:pPr>
        <w:adjustRightInd w:val="0"/>
        <w:snapToGrid w:val="0"/>
        <w:spacing w:line="360" w:lineRule="auto"/>
        <w:ind w:firstLine="560" w:firstLineChars="200"/>
        <w:jc w:val="left"/>
        <w:rPr>
          <w:sz w:val="28"/>
          <w:highlight w:val="none"/>
        </w:rPr>
      </w:pPr>
      <w:r>
        <w:rPr>
          <w:rFonts w:hint="eastAsia"/>
          <w:sz w:val="28"/>
          <w:highlight w:val="none"/>
        </w:rPr>
        <w:t>（3）消火栓</w:t>
      </w:r>
    </w:p>
    <w:p>
      <w:pPr>
        <w:adjustRightInd w:val="0"/>
        <w:snapToGrid w:val="0"/>
        <w:spacing w:line="360" w:lineRule="auto"/>
        <w:ind w:firstLine="560" w:firstLineChars="200"/>
        <w:jc w:val="left"/>
        <w:rPr>
          <w:sz w:val="28"/>
          <w:highlight w:val="none"/>
        </w:rPr>
      </w:pPr>
      <w:r>
        <w:rPr>
          <w:rFonts w:hint="eastAsia"/>
          <w:sz w:val="28"/>
          <w:highlight w:val="none"/>
        </w:rPr>
        <w:t>配合装修，以保证消火栓不占空间或影响美观，完成后所有商铺的消火栓需要发包人确认。</w:t>
      </w:r>
    </w:p>
    <w:p>
      <w:pPr>
        <w:adjustRightInd w:val="0"/>
        <w:snapToGrid w:val="0"/>
        <w:spacing w:line="360" w:lineRule="auto"/>
        <w:ind w:firstLine="560" w:firstLineChars="200"/>
        <w:jc w:val="left"/>
        <w:rPr>
          <w:sz w:val="28"/>
          <w:highlight w:val="none"/>
        </w:rPr>
      </w:pPr>
      <w:r>
        <w:rPr>
          <w:rFonts w:hint="eastAsia"/>
          <w:sz w:val="28"/>
          <w:highlight w:val="none"/>
        </w:rPr>
        <w:t>（4）喷淋</w:t>
      </w:r>
      <w:r>
        <w:rPr>
          <w:rFonts w:hint="eastAsia"/>
          <w:sz w:val="28"/>
          <w:highlight w:val="none"/>
        </w:rPr>
        <w:br w:type="textWrapping"/>
      </w:r>
      <w:r>
        <w:rPr>
          <w:rFonts w:hint="eastAsia"/>
          <w:sz w:val="28"/>
          <w:highlight w:val="none"/>
        </w:rPr>
        <w:t>按常规有吊顶设计，但需注意以下两点要求：</w:t>
      </w:r>
    </w:p>
    <w:p>
      <w:pPr>
        <w:adjustRightInd w:val="0"/>
        <w:snapToGrid w:val="0"/>
        <w:spacing w:line="360" w:lineRule="auto"/>
        <w:ind w:firstLine="560" w:firstLineChars="200"/>
        <w:jc w:val="left"/>
        <w:rPr>
          <w:sz w:val="28"/>
          <w:highlight w:val="none"/>
        </w:rPr>
      </w:pPr>
      <w:r>
        <w:rPr>
          <w:rFonts w:hint="eastAsia"/>
          <w:sz w:val="28"/>
          <w:highlight w:val="none"/>
        </w:rPr>
        <w:t>（1）为了保证走廊的净高要求，一层喷淋的主干管不要设在走廊内。</w:t>
      </w:r>
    </w:p>
    <w:p>
      <w:pPr>
        <w:adjustRightInd w:val="0"/>
        <w:snapToGrid w:val="0"/>
        <w:spacing w:line="360" w:lineRule="auto"/>
        <w:ind w:firstLine="560" w:firstLineChars="200"/>
        <w:jc w:val="left"/>
        <w:rPr>
          <w:sz w:val="28"/>
          <w:highlight w:val="none"/>
        </w:rPr>
      </w:pPr>
      <w:r>
        <w:rPr>
          <w:rFonts w:hint="eastAsia"/>
          <w:sz w:val="28"/>
          <w:highlight w:val="none"/>
        </w:rPr>
        <w:t>（2）如喷淋主干管必须设在走廊内，应设在结构梁的空隙内，不得占用走廊的任何空间（包括高度和宽度）。</w:t>
      </w:r>
    </w:p>
    <w:p>
      <w:pPr>
        <w:adjustRightInd w:val="0"/>
        <w:snapToGrid w:val="0"/>
        <w:spacing w:line="360" w:lineRule="auto"/>
        <w:ind w:firstLine="560" w:firstLineChars="200"/>
        <w:jc w:val="left"/>
        <w:rPr>
          <w:sz w:val="28"/>
          <w:highlight w:val="none"/>
        </w:rPr>
      </w:pPr>
      <w:r>
        <w:rPr>
          <w:rFonts w:hint="eastAsia"/>
          <w:sz w:val="28"/>
          <w:highlight w:val="none"/>
        </w:rPr>
        <w:t>2.3.3 办公</w:t>
      </w:r>
    </w:p>
    <w:p>
      <w:pPr>
        <w:adjustRightInd w:val="0"/>
        <w:snapToGrid w:val="0"/>
        <w:spacing w:line="360" w:lineRule="auto"/>
        <w:ind w:firstLine="560" w:firstLineChars="200"/>
        <w:jc w:val="left"/>
        <w:rPr>
          <w:sz w:val="28"/>
          <w:highlight w:val="none"/>
        </w:rPr>
      </w:pPr>
      <w:r>
        <w:rPr>
          <w:rFonts w:hint="eastAsia"/>
          <w:sz w:val="28"/>
          <w:highlight w:val="none"/>
        </w:rPr>
        <w:t>（1）雨水办公部分采用重力流（或虹吸排水）的内排水方式。</w:t>
      </w:r>
    </w:p>
    <w:p>
      <w:pPr>
        <w:adjustRightInd w:val="0"/>
        <w:snapToGrid w:val="0"/>
        <w:spacing w:line="360" w:lineRule="auto"/>
        <w:ind w:firstLine="560" w:firstLineChars="200"/>
        <w:jc w:val="left"/>
        <w:rPr>
          <w:sz w:val="28"/>
          <w:highlight w:val="none"/>
        </w:rPr>
      </w:pPr>
      <w:r>
        <w:rPr>
          <w:rFonts w:hint="eastAsia"/>
          <w:sz w:val="28"/>
          <w:highlight w:val="none"/>
        </w:rPr>
        <w:t>（2）给水主管为</w:t>
      </w:r>
      <w:r>
        <w:rPr>
          <w:rFonts w:hint="eastAsia"/>
          <w:sz w:val="28"/>
          <w:highlight w:val="none"/>
        </w:rPr>
        <w:t>薄壁不锈钢管</w:t>
      </w:r>
      <w:r>
        <w:rPr>
          <w:rFonts w:hint="eastAsia"/>
          <w:sz w:val="28"/>
          <w:highlight w:val="none"/>
        </w:rPr>
        <w:t>，公共卫生间或户内部分采用PPR管，采用分区增压变频供水，不设计生活用高位水箱，高位水箱仅供消防灭火用。</w:t>
      </w:r>
    </w:p>
    <w:p>
      <w:pPr>
        <w:adjustRightInd w:val="0"/>
        <w:snapToGrid w:val="0"/>
        <w:spacing w:line="360" w:lineRule="auto"/>
        <w:ind w:firstLine="560" w:firstLineChars="200"/>
        <w:jc w:val="left"/>
        <w:rPr>
          <w:sz w:val="28"/>
          <w:highlight w:val="none"/>
        </w:rPr>
      </w:pPr>
      <w:r>
        <w:rPr>
          <w:rFonts w:hint="eastAsia"/>
          <w:sz w:val="28"/>
          <w:highlight w:val="none"/>
        </w:rPr>
        <w:t>（3）排水采用</w:t>
      </w:r>
      <w:r>
        <w:rPr>
          <w:rFonts w:hint="eastAsia"/>
          <w:sz w:val="28"/>
          <w:highlight w:val="none"/>
        </w:rPr>
        <w:t>优质</w:t>
      </w:r>
      <w:r>
        <w:rPr>
          <w:rFonts w:hint="eastAsia"/>
          <w:sz w:val="28"/>
          <w:highlight w:val="none"/>
        </w:rPr>
        <w:t>UPVC管或柔性接口排水铸铁管（根据当地的习惯做法，同时考虑销售的要求）。</w:t>
      </w:r>
    </w:p>
    <w:p>
      <w:pPr>
        <w:adjustRightInd w:val="0"/>
        <w:snapToGrid w:val="0"/>
        <w:spacing w:line="360" w:lineRule="auto"/>
        <w:ind w:firstLine="560" w:firstLineChars="200"/>
        <w:jc w:val="left"/>
        <w:rPr>
          <w:sz w:val="28"/>
          <w:highlight w:val="none"/>
        </w:rPr>
      </w:pPr>
      <w:r>
        <w:rPr>
          <w:rFonts w:hint="eastAsia"/>
          <w:sz w:val="28"/>
          <w:highlight w:val="none"/>
        </w:rPr>
        <w:t>（4）空机冷凝管：由建筑专业提供位置并设置。</w:t>
      </w:r>
    </w:p>
    <w:p>
      <w:pPr>
        <w:adjustRightInd w:val="0"/>
        <w:snapToGrid w:val="0"/>
        <w:spacing w:line="360" w:lineRule="auto"/>
        <w:ind w:firstLine="560" w:firstLineChars="200"/>
        <w:jc w:val="left"/>
        <w:rPr>
          <w:sz w:val="28"/>
          <w:highlight w:val="none"/>
        </w:rPr>
      </w:pPr>
      <w:r>
        <w:rPr>
          <w:rFonts w:hint="eastAsia"/>
          <w:sz w:val="28"/>
          <w:highlight w:val="none"/>
        </w:rPr>
        <w:t>（5）公共区域设消火栓系统。</w:t>
      </w:r>
    </w:p>
    <w:p>
      <w:pPr>
        <w:adjustRightInd w:val="0"/>
        <w:snapToGrid w:val="0"/>
        <w:spacing w:line="360" w:lineRule="auto"/>
        <w:ind w:firstLine="560" w:firstLineChars="200"/>
        <w:jc w:val="left"/>
        <w:rPr>
          <w:sz w:val="28"/>
          <w:highlight w:val="none"/>
        </w:rPr>
      </w:pPr>
      <w:r>
        <w:rPr>
          <w:rFonts w:hint="eastAsia"/>
          <w:sz w:val="28"/>
          <w:highlight w:val="none"/>
        </w:rPr>
        <w:t>（6）如设喷淋，建议只在走廊设置，如果房间内必须设喷淋，考虑边墙式喷头。</w:t>
      </w:r>
    </w:p>
    <w:p>
      <w:pPr>
        <w:adjustRightInd w:val="0"/>
        <w:snapToGrid w:val="0"/>
        <w:spacing w:line="360" w:lineRule="auto"/>
        <w:ind w:firstLine="560" w:firstLineChars="200"/>
        <w:jc w:val="left"/>
        <w:rPr>
          <w:sz w:val="28"/>
          <w:highlight w:val="none"/>
        </w:rPr>
      </w:pPr>
      <w:r>
        <w:rPr>
          <w:rFonts w:hint="eastAsia"/>
          <w:sz w:val="28"/>
          <w:highlight w:val="none"/>
        </w:rPr>
        <w:t>2.1.3 地下室设消防水池和泵房，消防泵房宜设直接通往室外出口，水池溢流在采取卫生措施后直接排至小区雨水管系，同时水池溢流应有信息反馈至管理用房</w:t>
      </w:r>
    </w:p>
    <w:p>
      <w:pPr>
        <w:adjustRightInd w:val="0"/>
        <w:snapToGrid w:val="0"/>
        <w:spacing w:line="360" w:lineRule="auto"/>
        <w:ind w:firstLine="560" w:firstLineChars="200"/>
        <w:jc w:val="left"/>
        <w:rPr>
          <w:sz w:val="28"/>
          <w:highlight w:val="none"/>
        </w:rPr>
      </w:pPr>
      <w:r>
        <w:rPr>
          <w:rFonts w:hint="eastAsia"/>
          <w:sz w:val="28"/>
          <w:highlight w:val="none"/>
        </w:rPr>
        <w:t>2.2 室外部分</w:t>
      </w:r>
    </w:p>
    <w:p>
      <w:pPr>
        <w:adjustRightInd w:val="0"/>
        <w:snapToGrid w:val="0"/>
        <w:spacing w:line="360" w:lineRule="auto"/>
        <w:ind w:firstLine="560" w:firstLineChars="200"/>
        <w:jc w:val="left"/>
        <w:rPr>
          <w:sz w:val="28"/>
          <w:highlight w:val="none"/>
        </w:rPr>
      </w:pPr>
      <w:r>
        <w:rPr>
          <w:rFonts w:hint="eastAsia"/>
          <w:sz w:val="28"/>
          <w:highlight w:val="none"/>
        </w:rPr>
        <w:t>2.2.1 室外的给水井、污水井、雨水井尽量设计在道路上、入口处等主要地段，可考虑设计在绿化带上。在满足规范的前提下尽可能的少设检查井。室外消火栓闸阀井尽量不要放在道路或人行道上；</w:t>
      </w:r>
    </w:p>
    <w:p>
      <w:pPr>
        <w:adjustRightInd w:val="0"/>
        <w:snapToGrid w:val="0"/>
        <w:spacing w:line="360" w:lineRule="auto"/>
        <w:ind w:firstLine="560" w:firstLineChars="200"/>
        <w:jc w:val="left"/>
        <w:rPr>
          <w:sz w:val="28"/>
          <w:highlight w:val="none"/>
        </w:rPr>
      </w:pPr>
      <w:r>
        <w:rPr>
          <w:rFonts w:hint="eastAsia"/>
          <w:sz w:val="28"/>
          <w:highlight w:val="none"/>
        </w:rPr>
        <w:t>2.2.2 总图设计时应考虑水景用水的容量，并预留景观水景给排水接驳点。</w:t>
      </w:r>
    </w:p>
    <w:p>
      <w:pPr>
        <w:adjustRightInd w:val="0"/>
        <w:snapToGrid w:val="0"/>
        <w:spacing w:line="360" w:lineRule="auto"/>
        <w:ind w:firstLine="560" w:firstLineChars="200"/>
        <w:jc w:val="left"/>
        <w:rPr>
          <w:sz w:val="28"/>
          <w:highlight w:val="none"/>
        </w:rPr>
      </w:pPr>
      <w:r>
        <w:rPr>
          <w:rFonts w:hint="eastAsia"/>
          <w:sz w:val="28"/>
          <w:highlight w:val="none"/>
        </w:rPr>
        <w:t>2.2.3 室外给排水水管与电力电缆、弱电电缆以及天燃气管等保持规范要求的安全距离。</w:t>
      </w:r>
    </w:p>
    <w:p>
      <w:pPr>
        <w:adjustRightInd w:val="0"/>
        <w:snapToGrid w:val="0"/>
        <w:spacing w:line="360" w:lineRule="auto"/>
        <w:ind w:firstLine="560" w:firstLineChars="200"/>
        <w:jc w:val="left"/>
        <w:rPr>
          <w:sz w:val="28"/>
          <w:highlight w:val="none"/>
        </w:rPr>
      </w:pPr>
      <w:r>
        <w:rPr>
          <w:rFonts w:hint="eastAsia"/>
          <w:sz w:val="28"/>
          <w:highlight w:val="none"/>
        </w:rPr>
        <w:t>2.2.4 注意绿化低洼处、较低架空层的排水处理。</w:t>
      </w:r>
    </w:p>
    <w:p>
      <w:pPr>
        <w:adjustRightInd w:val="0"/>
        <w:snapToGrid w:val="0"/>
        <w:spacing w:line="360" w:lineRule="auto"/>
        <w:ind w:firstLine="560" w:firstLineChars="200"/>
        <w:jc w:val="left"/>
        <w:rPr>
          <w:sz w:val="28"/>
          <w:highlight w:val="none"/>
        </w:rPr>
      </w:pPr>
      <w:r>
        <w:rPr>
          <w:rFonts w:hint="eastAsia"/>
          <w:sz w:val="28"/>
          <w:highlight w:val="none"/>
        </w:rPr>
        <w:t>2.2.5 排水管道，污水管道宜按标准坡度进行设计，雨水管宜按最小坡度进行设计，但应复核管道排水能力。除强弱电管线外其他管道避免在绿化带内敷设。</w:t>
      </w:r>
    </w:p>
    <w:p>
      <w:pPr>
        <w:adjustRightInd w:val="0"/>
        <w:snapToGrid w:val="0"/>
        <w:spacing w:line="360" w:lineRule="auto"/>
        <w:ind w:firstLine="560" w:firstLineChars="200"/>
        <w:jc w:val="left"/>
        <w:rPr>
          <w:sz w:val="28"/>
          <w:highlight w:val="none"/>
        </w:rPr>
      </w:pPr>
      <w:r>
        <w:rPr>
          <w:rFonts w:hint="eastAsia"/>
          <w:sz w:val="28"/>
          <w:highlight w:val="none"/>
        </w:rPr>
        <w:t>2.2.6 室外强电、弱电井应设置排水措施。当电井井底标高高于雨水井底标高且满足管顶平接条件时，电井向雨水井重力排水；。</w:t>
      </w:r>
    </w:p>
    <w:p>
      <w:pPr>
        <w:adjustRightInd w:val="0"/>
        <w:snapToGrid w:val="0"/>
        <w:spacing w:line="360" w:lineRule="auto"/>
        <w:ind w:firstLine="560" w:firstLineChars="200"/>
        <w:jc w:val="left"/>
        <w:rPr>
          <w:sz w:val="28"/>
          <w:highlight w:val="none"/>
        </w:rPr>
      </w:pPr>
      <w:r>
        <w:rPr>
          <w:rFonts w:hint="eastAsia"/>
          <w:sz w:val="28"/>
          <w:highlight w:val="none"/>
        </w:rPr>
        <w:t>2.2.7 要求出具室外各个设备专业的管线综合图。</w:t>
      </w:r>
    </w:p>
    <w:p>
      <w:pPr>
        <w:adjustRightInd w:val="0"/>
        <w:snapToGrid w:val="0"/>
        <w:spacing w:line="360" w:lineRule="auto"/>
        <w:ind w:firstLine="560" w:firstLineChars="200"/>
        <w:jc w:val="left"/>
        <w:rPr>
          <w:sz w:val="28"/>
          <w:highlight w:val="none"/>
        </w:rPr>
      </w:pPr>
      <w:r>
        <w:rPr>
          <w:rFonts w:hint="eastAsia"/>
          <w:sz w:val="28"/>
          <w:highlight w:val="none"/>
        </w:rPr>
        <w:t>2.2.8 空调冷凝水排水的设计要充分考虑安装使用的可行性，避免造成排水不畅；要注意排水出户管标高与出户排水井标高的关系，两部分设计要衔接一致。冷凝水排水口位置宜设置排水立管。</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59" w:name="_Toc61006913"/>
      <w:bookmarkStart w:id="260" w:name="_Toc61017649"/>
      <w:bookmarkStart w:id="261" w:name="_Toc342057129"/>
      <w:r>
        <w:rPr>
          <w:rFonts w:hint="eastAsia" w:asciiTheme="majorEastAsia" w:hAnsiTheme="majorEastAsia" w:eastAsiaTheme="majorEastAsia"/>
          <w:highlight w:val="none"/>
        </w:rPr>
        <w:t>三、暖通部分</w:t>
      </w:r>
      <w:bookmarkEnd w:id="259"/>
      <w:bookmarkEnd w:id="260"/>
      <w:bookmarkEnd w:id="261"/>
    </w:p>
    <w:p>
      <w:pPr>
        <w:adjustRightInd w:val="0"/>
        <w:snapToGrid w:val="0"/>
        <w:spacing w:line="360" w:lineRule="auto"/>
        <w:ind w:firstLine="560" w:firstLineChars="200"/>
        <w:jc w:val="left"/>
        <w:rPr>
          <w:sz w:val="28"/>
          <w:highlight w:val="none"/>
        </w:rPr>
      </w:pPr>
      <w:bookmarkStart w:id="262" w:name="_Toc342057130"/>
      <w:bookmarkStart w:id="263" w:name="_Toc61006914"/>
      <w:bookmarkStart w:id="264" w:name="_Toc15843"/>
      <w:r>
        <w:rPr>
          <w:rFonts w:hint="eastAsia"/>
          <w:sz w:val="28"/>
          <w:highlight w:val="none"/>
        </w:rPr>
        <w:t>1、设计范围及指标</w:t>
      </w:r>
      <w:bookmarkEnd w:id="262"/>
      <w:bookmarkEnd w:id="263"/>
      <w:bookmarkEnd w:id="264"/>
    </w:p>
    <w:p>
      <w:pPr>
        <w:adjustRightInd w:val="0"/>
        <w:snapToGrid w:val="0"/>
        <w:spacing w:line="360" w:lineRule="auto"/>
        <w:ind w:firstLine="560" w:firstLineChars="200"/>
        <w:jc w:val="left"/>
        <w:rPr>
          <w:sz w:val="28"/>
          <w:highlight w:val="none"/>
        </w:rPr>
      </w:pPr>
      <w:r>
        <w:rPr>
          <w:rFonts w:hint="eastAsia"/>
          <w:sz w:val="28"/>
          <w:highlight w:val="none"/>
        </w:rPr>
        <w:t>1.1 设计范围</w:t>
      </w:r>
    </w:p>
    <w:p>
      <w:pPr>
        <w:adjustRightInd w:val="0"/>
        <w:snapToGrid w:val="0"/>
        <w:spacing w:line="360" w:lineRule="auto"/>
        <w:ind w:firstLine="560" w:firstLineChars="200"/>
        <w:jc w:val="left"/>
        <w:rPr>
          <w:sz w:val="28"/>
          <w:highlight w:val="none"/>
        </w:rPr>
      </w:pPr>
      <w:r>
        <w:rPr>
          <w:rFonts w:hint="eastAsia"/>
          <w:sz w:val="28"/>
          <w:highlight w:val="none"/>
        </w:rPr>
        <w:t>1.2采暖通风应按合同规定和规范要求的设计范围进行设计。</w:t>
      </w:r>
    </w:p>
    <w:p>
      <w:pPr>
        <w:adjustRightInd w:val="0"/>
        <w:snapToGrid w:val="0"/>
        <w:spacing w:line="360" w:lineRule="auto"/>
        <w:ind w:firstLine="560" w:firstLineChars="200"/>
        <w:jc w:val="left"/>
        <w:rPr>
          <w:sz w:val="28"/>
          <w:highlight w:val="none"/>
        </w:rPr>
      </w:pPr>
      <w:r>
        <w:rPr>
          <w:rFonts w:hint="eastAsia"/>
          <w:sz w:val="28"/>
          <w:highlight w:val="none"/>
        </w:rPr>
        <w:t>1.3在设计说明中需说明系统的使用操作要点，使用的材料和附件，系统工作压力和试压要求；施工安装要求及注意事项。</w:t>
      </w:r>
    </w:p>
    <w:p>
      <w:pPr>
        <w:adjustRightInd w:val="0"/>
        <w:snapToGrid w:val="0"/>
        <w:spacing w:line="360" w:lineRule="auto"/>
        <w:ind w:firstLine="560" w:firstLineChars="200"/>
        <w:jc w:val="left"/>
        <w:rPr>
          <w:sz w:val="28"/>
          <w:highlight w:val="none"/>
        </w:rPr>
      </w:pPr>
      <w:r>
        <w:rPr>
          <w:rFonts w:hint="eastAsia"/>
          <w:sz w:val="28"/>
          <w:highlight w:val="none"/>
        </w:rPr>
        <w:t>1.4应有详细的设备材料表，包括型号、规格、数量等信息，满足建设方材料设备招标需要。</w:t>
      </w:r>
    </w:p>
    <w:p>
      <w:pPr>
        <w:adjustRightInd w:val="0"/>
        <w:snapToGrid w:val="0"/>
        <w:spacing w:line="360" w:lineRule="auto"/>
        <w:ind w:firstLine="560" w:firstLineChars="200"/>
        <w:jc w:val="left"/>
        <w:rPr>
          <w:sz w:val="28"/>
          <w:highlight w:val="none"/>
        </w:rPr>
      </w:pPr>
      <w:r>
        <w:rPr>
          <w:rFonts w:hint="eastAsia"/>
          <w:sz w:val="28"/>
          <w:highlight w:val="none"/>
        </w:rPr>
        <w:t>1.5图纸应标注风管风口尺寸、平面位置、标高；各种设备安装的定位尺寸和编号；调节阀、防火阀等各种部件的位置及风管、风口的气流方向。</w:t>
      </w:r>
    </w:p>
    <w:p>
      <w:pPr>
        <w:adjustRightInd w:val="0"/>
        <w:snapToGrid w:val="0"/>
        <w:spacing w:line="360" w:lineRule="auto"/>
        <w:ind w:firstLine="560" w:firstLineChars="200"/>
        <w:jc w:val="left"/>
        <w:rPr>
          <w:sz w:val="28"/>
          <w:highlight w:val="none"/>
        </w:rPr>
      </w:pPr>
      <w:r>
        <w:rPr>
          <w:rFonts w:hint="eastAsia"/>
          <w:sz w:val="28"/>
          <w:highlight w:val="none"/>
        </w:rPr>
        <w:t>1.6风管或管道与设备交叉复杂的部位，应绘制剖面图或局部剖面。</w:t>
      </w:r>
    </w:p>
    <w:p>
      <w:pPr>
        <w:adjustRightInd w:val="0"/>
        <w:snapToGrid w:val="0"/>
        <w:spacing w:line="360" w:lineRule="auto"/>
        <w:ind w:firstLine="560" w:firstLineChars="200"/>
        <w:jc w:val="left"/>
        <w:rPr>
          <w:sz w:val="28"/>
          <w:highlight w:val="none"/>
        </w:rPr>
      </w:pPr>
      <w:r>
        <w:rPr>
          <w:rFonts w:hint="eastAsia"/>
          <w:sz w:val="28"/>
          <w:highlight w:val="none"/>
        </w:rPr>
        <w:t>1.7设备系统选型在满足规范要求的前提下应取得认可，并合理选择参数、符合节能要求。</w:t>
      </w:r>
    </w:p>
    <w:p>
      <w:pPr>
        <w:adjustRightInd w:val="0"/>
        <w:snapToGrid w:val="0"/>
        <w:spacing w:line="360" w:lineRule="auto"/>
        <w:ind w:firstLine="560" w:firstLineChars="200"/>
        <w:jc w:val="left"/>
        <w:rPr>
          <w:sz w:val="28"/>
          <w:highlight w:val="none"/>
        </w:rPr>
      </w:pPr>
      <w:r>
        <w:rPr>
          <w:rFonts w:hint="eastAsia"/>
          <w:sz w:val="28"/>
          <w:highlight w:val="none"/>
        </w:rPr>
        <w:t>1.8设计指标</w:t>
      </w:r>
    </w:p>
    <w:p>
      <w:pPr>
        <w:adjustRightInd w:val="0"/>
        <w:snapToGrid w:val="0"/>
        <w:spacing w:line="360" w:lineRule="auto"/>
        <w:ind w:firstLine="560" w:firstLineChars="200"/>
        <w:jc w:val="left"/>
        <w:rPr>
          <w:sz w:val="28"/>
          <w:highlight w:val="none"/>
        </w:rPr>
      </w:pPr>
      <w:r>
        <w:rPr>
          <w:rFonts w:hint="eastAsia"/>
          <w:sz w:val="28"/>
          <w:highlight w:val="none"/>
        </w:rPr>
        <w:t>采暖通风负荷量按国家规定的有关指标并结合各地区实际情况进行计算。</w:t>
      </w:r>
    </w:p>
    <w:p>
      <w:pPr>
        <w:adjustRightInd w:val="0"/>
        <w:snapToGrid w:val="0"/>
        <w:spacing w:line="360" w:lineRule="auto"/>
        <w:ind w:firstLine="560" w:firstLineChars="200"/>
        <w:jc w:val="left"/>
        <w:rPr>
          <w:sz w:val="28"/>
          <w:highlight w:val="none"/>
        </w:rPr>
      </w:pPr>
      <w:bookmarkStart w:id="265" w:name="_Toc61006915"/>
      <w:bookmarkStart w:id="266" w:name="_Toc342057131"/>
      <w:bookmarkStart w:id="267" w:name="_Toc26971"/>
      <w:r>
        <w:rPr>
          <w:rFonts w:hint="eastAsia"/>
          <w:sz w:val="28"/>
          <w:highlight w:val="none"/>
        </w:rPr>
        <w:t>2、设计注意事项及习惯做法</w:t>
      </w:r>
      <w:bookmarkEnd w:id="265"/>
      <w:bookmarkEnd w:id="266"/>
      <w:bookmarkEnd w:id="267"/>
    </w:p>
    <w:p>
      <w:pPr>
        <w:adjustRightInd w:val="0"/>
        <w:snapToGrid w:val="0"/>
        <w:spacing w:line="360" w:lineRule="auto"/>
        <w:ind w:firstLine="560" w:firstLineChars="200"/>
        <w:jc w:val="left"/>
        <w:rPr>
          <w:sz w:val="28"/>
          <w:highlight w:val="none"/>
        </w:rPr>
      </w:pPr>
      <w:r>
        <w:rPr>
          <w:rFonts w:hint="eastAsia"/>
          <w:sz w:val="28"/>
          <w:highlight w:val="none"/>
        </w:rPr>
        <w:t>2.1 总体要求</w:t>
      </w:r>
    </w:p>
    <w:p>
      <w:pPr>
        <w:adjustRightInd w:val="0"/>
        <w:snapToGrid w:val="0"/>
        <w:spacing w:line="360" w:lineRule="auto"/>
        <w:ind w:firstLine="560" w:firstLineChars="200"/>
        <w:jc w:val="left"/>
        <w:rPr>
          <w:sz w:val="28"/>
          <w:highlight w:val="none"/>
        </w:rPr>
      </w:pPr>
      <w:r>
        <w:rPr>
          <w:rFonts w:hint="eastAsia"/>
          <w:sz w:val="28"/>
          <w:highlight w:val="none"/>
        </w:rPr>
        <w:t>2.1.1 提供空调（采暖）逐时负荷计算书（采用分体空调不需要负荷计算书），设备选型计算书，提供空调系统水力计算书（采用分体空调不需要空调系统水力计算书）。按国家相关规定计算风量等指标。</w:t>
      </w:r>
    </w:p>
    <w:p>
      <w:pPr>
        <w:adjustRightInd w:val="0"/>
        <w:snapToGrid w:val="0"/>
        <w:spacing w:line="360" w:lineRule="auto"/>
        <w:ind w:firstLine="560" w:firstLineChars="200"/>
        <w:jc w:val="left"/>
        <w:rPr>
          <w:sz w:val="28"/>
          <w:highlight w:val="none"/>
        </w:rPr>
      </w:pPr>
      <w:r>
        <w:rPr>
          <w:rFonts w:hint="eastAsia"/>
          <w:sz w:val="28"/>
          <w:highlight w:val="none"/>
        </w:rPr>
        <w:t>2.1.2 配套商业与办公空调系统独立（含通风系统（排烟可除外））。</w:t>
      </w:r>
    </w:p>
    <w:p>
      <w:pPr>
        <w:adjustRightInd w:val="0"/>
        <w:snapToGrid w:val="0"/>
        <w:spacing w:line="360" w:lineRule="auto"/>
        <w:ind w:firstLine="560" w:firstLineChars="200"/>
        <w:jc w:val="left"/>
        <w:rPr>
          <w:sz w:val="28"/>
          <w:highlight w:val="none"/>
        </w:rPr>
      </w:pPr>
      <w:r>
        <w:rPr>
          <w:rFonts w:hint="eastAsia"/>
          <w:sz w:val="28"/>
          <w:highlight w:val="none"/>
        </w:rPr>
        <w:t>2.1.3 办公根据售楼标准确定，设计分体空调，提供室外机位置及冷凝水排放位置（冷凝水排放位置应在给排水专业图纸表达）。</w:t>
      </w:r>
    </w:p>
    <w:p>
      <w:pPr>
        <w:adjustRightInd w:val="0"/>
        <w:snapToGrid w:val="0"/>
        <w:spacing w:line="360" w:lineRule="auto"/>
        <w:ind w:firstLine="560" w:firstLineChars="200"/>
        <w:jc w:val="left"/>
        <w:rPr>
          <w:sz w:val="28"/>
          <w:highlight w:val="none"/>
        </w:rPr>
      </w:pPr>
      <w:r>
        <w:rPr>
          <w:rFonts w:hint="eastAsia"/>
          <w:sz w:val="28"/>
          <w:highlight w:val="none"/>
        </w:rPr>
        <w:t>2.1.4 通风、防排烟根据当地实际情况及消防局意见确定。</w:t>
      </w:r>
    </w:p>
    <w:p>
      <w:pPr>
        <w:adjustRightInd w:val="0"/>
        <w:snapToGrid w:val="0"/>
        <w:spacing w:line="360" w:lineRule="auto"/>
        <w:ind w:firstLine="560" w:firstLineChars="200"/>
        <w:jc w:val="left"/>
        <w:rPr>
          <w:sz w:val="28"/>
          <w:highlight w:val="none"/>
        </w:rPr>
      </w:pPr>
      <w:r>
        <w:rPr>
          <w:rFonts w:hint="eastAsia"/>
          <w:sz w:val="28"/>
          <w:highlight w:val="none"/>
        </w:rPr>
        <w:t>2.1.5 车库排风与排烟合用一套系统，风机</w:t>
      </w:r>
      <w:r>
        <w:rPr>
          <w:sz w:val="28"/>
          <w:highlight w:val="none"/>
        </w:rPr>
        <w:t>2套，</w:t>
      </w:r>
      <w:r>
        <w:rPr>
          <w:rFonts w:hint="eastAsia"/>
          <w:sz w:val="28"/>
          <w:highlight w:val="none"/>
        </w:rPr>
        <w:t>其中一台排风按1.5～2次换气次数考虑（平时用），排风风机与排烟风机并联（按防烟分区）（车库排烟风机按规范设置，不一定是2套，平时排风换气次数按技术措施要求是5~</w:t>
      </w:r>
      <w:r>
        <w:rPr>
          <w:sz w:val="28"/>
          <w:highlight w:val="none"/>
        </w:rPr>
        <w:t>6次</w:t>
      </w:r>
      <w:r>
        <w:rPr>
          <w:rFonts w:hint="eastAsia"/>
          <w:sz w:val="28"/>
          <w:highlight w:val="none"/>
        </w:rPr>
        <w:t>/h）。</w:t>
      </w:r>
    </w:p>
    <w:p>
      <w:pPr>
        <w:adjustRightInd w:val="0"/>
        <w:snapToGrid w:val="0"/>
        <w:spacing w:line="360" w:lineRule="auto"/>
        <w:ind w:firstLine="560" w:firstLineChars="200"/>
        <w:jc w:val="left"/>
        <w:rPr>
          <w:sz w:val="28"/>
          <w:highlight w:val="none"/>
        </w:rPr>
      </w:pPr>
      <w:r>
        <w:rPr>
          <w:rFonts w:hint="eastAsia"/>
          <w:sz w:val="28"/>
          <w:highlight w:val="none"/>
        </w:rPr>
        <w:t>2.1.6 多个业态合用一个空调系统的，每个业态要能按业态独立计量和控制。</w:t>
      </w:r>
    </w:p>
    <w:p>
      <w:pPr>
        <w:adjustRightInd w:val="0"/>
        <w:snapToGrid w:val="0"/>
        <w:spacing w:line="360" w:lineRule="auto"/>
        <w:ind w:firstLine="560" w:firstLineChars="200"/>
        <w:jc w:val="left"/>
        <w:rPr>
          <w:sz w:val="28"/>
          <w:highlight w:val="none"/>
        </w:rPr>
      </w:pPr>
      <w:r>
        <w:rPr>
          <w:rFonts w:hint="eastAsia"/>
          <w:sz w:val="28"/>
          <w:highlight w:val="none"/>
        </w:rPr>
        <w:t>2.1.7 变配电室、值班室、消控中心、湿式垃圾房等需要设分体空调。</w:t>
      </w:r>
    </w:p>
    <w:p>
      <w:pPr>
        <w:adjustRightInd w:val="0"/>
        <w:snapToGrid w:val="0"/>
        <w:spacing w:line="360" w:lineRule="auto"/>
        <w:ind w:firstLine="560" w:firstLineChars="200"/>
        <w:jc w:val="left"/>
        <w:rPr>
          <w:sz w:val="28"/>
          <w:highlight w:val="none"/>
        </w:rPr>
      </w:pPr>
      <w:r>
        <w:rPr>
          <w:rFonts w:hint="eastAsia"/>
          <w:sz w:val="28"/>
          <w:highlight w:val="none"/>
        </w:rPr>
        <w:t>2.1.8 屋面设备、立面风口要与外装风格相协调。</w:t>
      </w:r>
    </w:p>
    <w:p>
      <w:pPr>
        <w:adjustRightInd w:val="0"/>
        <w:snapToGrid w:val="0"/>
        <w:spacing w:line="360" w:lineRule="auto"/>
        <w:ind w:firstLine="560" w:firstLineChars="200"/>
        <w:jc w:val="left"/>
        <w:rPr>
          <w:sz w:val="28"/>
          <w:highlight w:val="none"/>
        </w:rPr>
      </w:pPr>
      <w:r>
        <w:rPr>
          <w:rFonts w:hint="eastAsia"/>
          <w:sz w:val="28"/>
          <w:highlight w:val="none"/>
        </w:rPr>
        <w:t>2.1.9 垃圾房、卫生间设独立的强排风。</w:t>
      </w:r>
    </w:p>
    <w:p>
      <w:pPr>
        <w:adjustRightInd w:val="0"/>
        <w:snapToGrid w:val="0"/>
        <w:spacing w:line="360" w:lineRule="auto"/>
        <w:ind w:firstLine="560" w:firstLineChars="200"/>
        <w:jc w:val="left"/>
        <w:rPr>
          <w:sz w:val="28"/>
          <w:highlight w:val="none"/>
        </w:rPr>
      </w:pPr>
      <w:r>
        <w:rPr>
          <w:rFonts w:hint="eastAsia"/>
          <w:sz w:val="28"/>
          <w:highlight w:val="none"/>
        </w:rPr>
        <w:t>2.1.10 所有土建风井用</w:t>
      </w:r>
      <w:r>
        <w:rPr>
          <w:rFonts w:hint="eastAsia"/>
          <w:sz w:val="28"/>
          <w:highlight w:val="none"/>
        </w:rPr>
        <w:t>镀锌钢板做内衬或成品</w:t>
      </w:r>
      <w:r>
        <w:rPr>
          <w:sz w:val="28"/>
          <w:highlight w:val="none"/>
        </w:rPr>
        <w:t>风道</w:t>
      </w:r>
      <w:r>
        <w:rPr>
          <w:rFonts w:hint="eastAsia"/>
          <w:sz w:val="28"/>
          <w:highlight w:val="none"/>
        </w:rPr>
        <w:t>。</w:t>
      </w:r>
    </w:p>
    <w:p>
      <w:pPr>
        <w:adjustRightInd w:val="0"/>
        <w:snapToGrid w:val="0"/>
        <w:spacing w:line="360" w:lineRule="auto"/>
        <w:ind w:firstLine="560" w:firstLineChars="200"/>
        <w:jc w:val="left"/>
        <w:rPr>
          <w:sz w:val="28"/>
          <w:highlight w:val="none"/>
        </w:rPr>
      </w:pPr>
      <w:r>
        <w:rPr>
          <w:rFonts w:hint="eastAsia"/>
          <w:sz w:val="28"/>
          <w:highlight w:val="none"/>
        </w:rPr>
        <w:t>2.1.11 暖通施工图注明所有管井用途、大小，注明所有预留设备名称、占地位置及大小。</w:t>
      </w:r>
    </w:p>
    <w:p>
      <w:pPr>
        <w:adjustRightInd w:val="0"/>
        <w:snapToGrid w:val="0"/>
        <w:spacing w:line="360" w:lineRule="auto"/>
        <w:ind w:firstLine="560" w:firstLineChars="200"/>
        <w:jc w:val="left"/>
        <w:rPr>
          <w:sz w:val="28"/>
          <w:highlight w:val="none"/>
        </w:rPr>
      </w:pPr>
      <w:r>
        <w:rPr>
          <w:rFonts w:hint="eastAsia"/>
          <w:sz w:val="28"/>
          <w:highlight w:val="none"/>
        </w:rPr>
        <w:t>2.1.12 餐饮预留排油烟土建竖井，同时预留油烟净化器及风机位置，并考虑其荷载。排油烟管材质</w:t>
      </w:r>
      <w:r>
        <w:rPr>
          <w:sz w:val="28"/>
          <w:highlight w:val="none"/>
        </w:rPr>
        <w:t>采用不锈钢</w:t>
      </w:r>
      <w:r>
        <w:rPr>
          <w:rFonts w:hint="eastAsia"/>
          <w:sz w:val="28"/>
          <w:highlight w:val="none"/>
        </w:rPr>
        <w:t>，排油烟量</w:t>
      </w:r>
      <w:r>
        <w:rPr>
          <w:sz w:val="28"/>
          <w:highlight w:val="none"/>
        </w:rPr>
        <w:t>计算原则：</w:t>
      </w:r>
      <w:r>
        <w:rPr>
          <w:rFonts w:hint="eastAsia"/>
          <w:sz w:val="28"/>
          <w:highlight w:val="none"/>
        </w:rPr>
        <w:t>厨房面积占餐饮面积</w:t>
      </w:r>
      <w:r>
        <w:rPr>
          <w:sz w:val="28"/>
          <w:highlight w:val="none"/>
        </w:rPr>
        <w:t>1/3</w:t>
      </w:r>
      <w:r>
        <w:rPr>
          <w:rFonts w:hint="eastAsia"/>
          <w:sz w:val="28"/>
          <w:highlight w:val="none"/>
        </w:rPr>
        <w:t>，厨房净高按3.2～3.5m计算，换气次数60次、风速</w:t>
      </w:r>
      <w:r>
        <w:rPr>
          <w:sz w:val="28"/>
          <w:highlight w:val="none"/>
        </w:rPr>
        <w:t>11</w:t>
      </w:r>
      <w:r>
        <w:rPr>
          <w:rFonts w:hint="eastAsia"/>
          <w:sz w:val="28"/>
          <w:highlight w:val="none"/>
        </w:rPr>
        <w:t>～1</w:t>
      </w:r>
      <w:r>
        <w:rPr>
          <w:sz w:val="28"/>
          <w:highlight w:val="none"/>
        </w:rPr>
        <w:t>3</w:t>
      </w:r>
      <w:r>
        <w:rPr>
          <w:rFonts w:hint="eastAsia"/>
          <w:sz w:val="28"/>
          <w:highlight w:val="none"/>
        </w:rPr>
        <w:t>m/s。</w:t>
      </w:r>
    </w:p>
    <w:p>
      <w:pPr>
        <w:adjustRightInd w:val="0"/>
        <w:snapToGrid w:val="0"/>
        <w:spacing w:line="360" w:lineRule="auto"/>
        <w:ind w:firstLine="560" w:firstLineChars="200"/>
        <w:jc w:val="left"/>
        <w:rPr>
          <w:sz w:val="28"/>
          <w:highlight w:val="none"/>
        </w:rPr>
      </w:pPr>
      <w:r>
        <w:rPr>
          <w:rFonts w:hint="eastAsia"/>
          <w:sz w:val="28"/>
          <w:highlight w:val="none"/>
        </w:rPr>
        <w:t>2.1.</w:t>
      </w:r>
      <w:r>
        <w:rPr>
          <w:sz w:val="28"/>
          <w:highlight w:val="none"/>
        </w:rPr>
        <w:t>13</w:t>
      </w:r>
      <w:r>
        <w:rPr>
          <w:rFonts w:hint="eastAsia"/>
          <w:sz w:val="28"/>
          <w:highlight w:val="none"/>
        </w:rPr>
        <w:t xml:space="preserve"> 室内空调冷凝排水尽量不通过其他房间，如需通过其它房间再接至冷凝管时，不宜连接过长，因为管道过长时，坡度、避梁、穿剪力墙等因素造成难以施工和控制，应按就近连接的原则。</w:t>
      </w:r>
    </w:p>
    <w:p>
      <w:pPr>
        <w:adjustRightInd w:val="0"/>
        <w:snapToGrid w:val="0"/>
        <w:spacing w:line="360" w:lineRule="auto"/>
        <w:ind w:firstLine="560" w:firstLineChars="200"/>
        <w:jc w:val="left"/>
        <w:rPr>
          <w:sz w:val="28"/>
          <w:highlight w:val="none"/>
        </w:rPr>
      </w:pPr>
      <w:r>
        <w:rPr>
          <w:rFonts w:hint="eastAsia"/>
          <w:sz w:val="28"/>
          <w:highlight w:val="none"/>
        </w:rPr>
        <w:t>2.1.</w:t>
      </w:r>
      <w:r>
        <w:rPr>
          <w:sz w:val="28"/>
          <w:highlight w:val="none"/>
        </w:rPr>
        <w:t>14</w:t>
      </w:r>
      <w:r>
        <w:rPr>
          <w:rFonts w:hint="eastAsia"/>
          <w:sz w:val="28"/>
          <w:highlight w:val="none"/>
        </w:rPr>
        <w:t xml:space="preserve"> 办公与小型商铺采用分体式空调。</w:t>
      </w:r>
    </w:p>
    <w:p>
      <w:pPr>
        <w:adjustRightInd w:val="0"/>
        <w:snapToGrid w:val="0"/>
        <w:spacing w:line="360" w:lineRule="auto"/>
        <w:ind w:firstLine="560" w:firstLineChars="200"/>
        <w:jc w:val="left"/>
        <w:rPr>
          <w:sz w:val="28"/>
          <w:highlight w:val="none"/>
        </w:rPr>
      </w:pPr>
      <w:r>
        <w:rPr>
          <w:rFonts w:hint="eastAsia"/>
          <w:sz w:val="28"/>
          <w:highlight w:val="none"/>
        </w:rPr>
        <w:t>2.1.</w:t>
      </w:r>
      <w:r>
        <w:rPr>
          <w:sz w:val="28"/>
          <w:highlight w:val="none"/>
        </w:rPr>
        <w:t>15</w:t>
      </w:r>
      <w:r>
        <w:rPr>
          <w:rFonts w:hint="eastAsia"/>
          <w:sz w:val="28"/>
          <w:highlight w:val="none"/>
        </w:rPr>
        <w:t xml:space="preserve"> 风管穿梁、穿剪力墙开洞位置应详细标注在图中，并要求同时标注在结构图中。一经确定，不能随意修改，特别是柱、梁的空调预留洞，如果修改，机械开孔对结构影响比较严重（还有对装修的质量隐患），设计要注意此部分修改。</w:t>
      </w:r>
    </w:p>
    <w:p>
      <w:pPr>
        <w:adjustRightInd w:val="0"/>
        <w:snapToGrid w:val="0"/>
        <w:spacing w:line="360" w:lineRule="auto"/>
        <w:ind w:firstLine="560" w:firstLineChars="200"/>
        <w:jc w:val="left"/>
        <w:rPr>
          <w:sz w:val="28"/>
          <w:highlight w:val="none"/>
        </w:rPr>
      </w:pPr>
      <w:r>
        <w:rPr>
          <w:rFonts w:hint="eastAsia"/>
          <w:sz w:val="28"/>
          <w:highlight w:val="none"/>
        </w:rPr>
        <w:t>2.1.</w:t>
      </w:r>
      <w:r>
        <w:rPr>
          <w:sz w:val="28"/>
          <w:highlight w:val="none"/>
        </w:rPr>
        <w:t>16</w:t>
      </w:r>
      <w:r>
        <w:rPr>
          <w:rFonts w:hint="eastAsia"/>
          <w:sz w:val="28"/>
          <w:highlight w:val="none"/>
        </w:rPr>
        <w:t xml:space="preserve"> 大型设备间，需明确基础设置详图及减震措施，必要时提交操作平台图纸。</w:t>
      </w:r>
    </w:p>
    <w:p>
      <w:pPr>
        <w:adjustRightInd w:val="0"/>
        <w:snapToGrid w:val="0"/>
        <w:spacing w:line="360" w:lineRule="auto"/>
        <w:ind w:firstLine="560" w:firstLineChars="200"/>
        <w:jc w:val="left"/>
        <w:rPr>
          <w:sz w:val="28"/>
          <w:highlight w:val="none"/>
        </w:rPr>
      </w:pPr>
      <w:r>
        <w:rPr>
          <w:rFonts w:hint="eastAsia"/>
          <w:sz w:val="28"/>
          <w:highlight w:val="none"/>
        </w:rPr>
        <w:t>2.1.</w:t>
      </w:r>
      <w:r>
        <w:rPr>
          <w:sz w:val="28"/>
          <w:highlight w:val="none"/>
        </w:rPr>
        <w:t>17</w:t>
      </w:r>
      <w:r>
        <w:rPr>
          <w:rFonts w:hint="eastAsia"/>
          <w:sz w:val="28"/>
          <w:highlight w:val="none"/>
        </w:rPr>
        <w:t xml:space="preserve"> 风机吊装须写明减振要求，如果采用减振吊架，须写明每个风机采用的减振吊架的型号规格。</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68" w:name="_Toc342057132"/>
      <w:bookmarkStart w:id="269" w:name="_Toc61017650"/>
      <w:bookmarkStart w:id="270" w:name="_Toc61006916"/>
      <w:r>
        <w:rPr>
          <w:rFonts w:hint="eastAsia" w:asciiTheme="majorEastAsia" w:hAnsiTheme="majorEastAsia" w:eastAsiaTheme="majorEastAsia"/>
          <w:highlight w:val="none"/>
        </w:rPr>
        <w:t>四、燃气部分</w:t>
      </w:r>
      <w:bookmarkEnd w:id="268"/>
      <w:bookmarkEnd w:id="269"/>
      <w:bookmarkEnd w:id="270"/>
    </w:p>
    <w:p>
      <w:pPr>
        <w:adjustRightInd w:val="0"/>
        <w:snapToGrid w:val="0"/>
        <w:spacing w:line="360" w:lineRule="auto"/>
        <w:ind w:firstLine="560" w:firstLineChars="200"/>
        <w:jc w:val="left"/>
        <w:rPr>
          <w:sz w:val="28"/>
          <w:highlight w:val="none"/>
        </w:rPr>
      </w:pPr>
      <w:r>
        <w:rPr>
          <w:rFonts w:hint="eastAsia"/>
          <w:sz w:val="28"/>
          <w:highlight w:val="none"/>
        </w:rPr>
        <w:t>本工程不涉及燃气工程设计。</w:t>
      </w:r>
    </w:p>
    <w:p>
      <w:pPr>
        <w:pStyle w:val="5"/>
        <w:numPr>
          <w:ilvl w:val="0"/>
          <w:numId w:val="0"/>
        </w:numPr>
        <w:adjustRightInd w:val="0"/>
        <w:snapToGrid w:val="0"/>
        <w:spacing w:before="0" w:after="0" w:line="415" w:lineRule="auto"/>
        <w:ind w:firstLine="640" w:firstLineChars="200"/>
        <w:rPr>
          <w:rFonts w:asciiTheme="majorEastAsia" w:hAnsiTheme="majorEastAsia" w:eastAsiaTheme="majorEastAsia"/>
          <w:highlight w:val="none"/>
        </w:rPr>
      </w:pPr>
      <w:bookmarkStart w:id="271" w:name="_Toc61006917"/>
      <w:bookmarkStart w:id="272" w:name="_Toc61017651"/>
      <w:bookmarkStart w:id="273" w:name="_Toc342057133"/>
      <w:r>
        <w:rPr>
          <w:rFonts w:hint="eastAsia" w:asciiTheme="majorEastAsia" w:hAnsiTheme="majorEastAsia" w:eastAsiaTheme="majorEastAsia"/>
          <w:highlight w:val="none"/>
        </w:rPr>
        <w:t>五.设计管理</w:t>
      </w:r>
      <w:bookmarkEnd w:id="271"/>
      <w:bookmarkEnd w:id="272"/>
      <w:bookmarkEnd w:id="273"/>
    </w:p>
    <w:p>
      <w:pPr>
        <w:adjustRightInd w:val="0"/>
        <w:snapToGrid w:val="0"/>
        <w:spacing w:line="360" w:lineRule="auto"/>
        <w:ind w:firstLine="560" w:firstLineChars="200"/>
        <w:jc w:val="left"/>
        <w:rPr>
          <w:sz w:val="28"/>
          <w:highlight w:val="none"/>
        </w:rPr>
      </w:pPr>
      <w:bookmarkStart w:id="274" w:name="_Toc342057134"/>
      <w:bookmarkStart w:id="275" w:name="_Toc18736"/>
      <w:bookmarkStart w:id="276" w:name="_Toc61006918"/>
      <w:r>
        <w:rPr>
          <w:rFonts w:hint="eastAsia"/>
          <w:sz w:val="28"/>
          <w:highlight w:val="none"/>
        </w:rPr>
        <w:t>1、综合</w:t>
      </w:r>
      <w:bookmarkEnd w:id="274"/>
      <w:bookmarkEnd w:id="275"/>
      <w:bookmarkEnd w:id="276"/>
    </w:p>
    <w:p>
      <w:pPr>
        <w:adjustRightInd w:val="0"/>
        <w:snapToGrid w:val="0"/>
        <w:spacing w:line="360" w:lineRule="auto"/>
        <w:ind w:firstLine="560" w:firstLineChars="200"/>
        <w:jc w:val="left"/>
        <w:rPr>
          <w:sz w:val="28"/>
          <w:highlight w:val="none"/>
        </w:rPr>
      </w:pPr>
      <w:r>
        <w:rPr>
          <w:rFonts w:hint="eastAsia"/>
          <w:sz w:val="28"/>
          <w:highlight w:val="none"/>
        </w:rPr>
        <w:t>1.1 所有设计的设计说明和图例要具体详细，重要内容不得遗漏，不得套用以往的统一说明，要有针对性。</w:t>
      </w:r>
    </w:p>
    <w:p>
      <w:pPr>
        <w:adjustRightInd w:val="0"/>
        <w:snapToGrid w:val="0"/>
        <w:spacing w:line="360" w:lineRule="auto"/>
        <w:ind w:firstLine="560" w:firstLineChars="200"/>
        <w:jc w:val="left"/>
        <w:rPr>
          <w:sz w:val="28"/>
          <w:highlight w:val="none"/>
        </w:rPr>
      </w:pPr>
      <w:r>
        <w:rPr>
          <w:rFonts w:hint="eastAsia"/>
          <w:sz w:val="28"/>
          <w:highlight w:val="none"/>
        </w:rPr>
        <w:t>1.2 设计单位对设计时参考的产品要有充分的把握，产品技术标准和档次符合项目定位和质量要求，主要材料设备的选型应在出施工图前与发包人沟通，设计选用的新设备材料要知会发包人。</w:t>
      </w:r>
    </w:p>
    <w:p>
      <w:pPr>
        <w:adjustRightInd w:val="0"/>
        <w:snapToGrid w:val="0"/>
        <w:spacing w:line="360" w:lineRule="auto"/>
        <w:ind w:firstLine="560" w:firstLineChars="200"/>
        <w:jc w:val="left"/>
        <w:rPr>
          <w:sz w:val="28"/>
          <w:highlight w:val="none"/>
        </w:rPr>
      </w:pPr>
      <w:r>
        <w:rPr>
          <w:rFonts w:hint="eastAsia"/>
          <w:sz w:val="28"/>
          <w:highlight w:val="none"/>
        </w:rPr>
        <w:t>1.3 设计图纸要按照规定的设计深度要求做到，如为保证整个系统的完整清晰，同时便于统计所有系统中的大小设备及附件，一定要有完整的水系统图、风系统图、必要时要有反映相对位置的轴侧图。</w:t>
      </w:r>
    </w:p>
    <w:p>
      <w:pPr>
        <w:adjustRightInd w:val="0"/>
        <w:snapToGrid w:val="0"/>
        <w:spacing w:line="360" w:lineRule="auto"/>
        <w:ind w:firstLine="560" w:firstLineChars="200"/>
        <w:jc w:val="left"/>
        <w:rPr>
          <w:sz w:val="28"/>
          <w:highlight w:val="none"/>
        </w:rPr>
      </w:pPr>
      <w:r>
        <w:rPr>
          <w:rFonts w:hint="eastAsia"/>
          <w:sz w:val="28"/>
          <w:highlight w:val="none"/>
        </w:rPr>
        <w:t>1.4 凡重大设备（如发电机组）如涉及设备用房时，一律要求建筑专业要事先考虑预留设备入室通道，并做出说明（如“待设备进入后再砌墙”）等；如结构楼面载荷不足以支撑重设备通过的，须预先说明，且待设备进场前无条件提交必须的支撑设计方案给业主。如有风柜等比设备间门框尺寸还大的设备存在，须由设备专业预先与建筑专业沟通，事前在图纸上明确解决办法。以避免“先砌墙，再打墙”，给业主造成不必要的损失。</w:t>
      </w:r>
    </w:p>
    <w:p>
      <w:pPr>
        <w:adjustRightInd w:val="0"/>
        <w:snapToGrid w:val="0"/>
        <w:spacing w:line="360" w:lineRule="auto"/>
        <w:ind w:firstLine="560" w:firstLineChars="200"/>
        <w:jc w:val="left"/>
        <w:rPr>
          <w:sz w:val="28"/>
          <w:highlight w:val="none"/>
        </w:rPr>
      </w:pPr>
      <w:r>
        <w:rPr>
          <w:rFonts w:hint="eastAsia"/>
          <w:sz w:val="28"/>
          <w:highlight w:val="none"/>
        </w:rPr>
        <w:t>1.5 图纸必须由各相关工程师会签，否则因各设计专业之间沟通不利给业主造成的经济损失，业主保留向设计院索赔的权利。</w:t>
      </w:r>
    </w:p>
    <w:p>
      <w:pPr>
        <w:adjustRightInd w:val="0"/>
        <w:snapToGrid w:val="0"/>
        <w:spacing w:line="360" w:lineRule="auto"/>
        <w:ind w:firstLine="560" w:firstLineChars="200"/>
        <w:jc w:val="left"/>
        <w:rPr>
          <w:sz w:val="28"/>
          <w:highlight w:val="none"/>
        </w:rPr>
      </w:pPr>
      <w:r>
        <w:rPr>
          <w:rFonts w:hint="eastAsia"/>
          <w:sz w:val="28"/>
          <w:highlight w:val="none"/>
        </w:rPr>
        <w:t>1.6 所有超过大于</w:t>
      </w:r>
      <w:r>
        <w:rPr>
          <w:sz w:val="28"/>
          <w:highlight w:val="none"/>
        </w:rPr>
        <w:t>200</w:t>
      </w:r>
      <w:r>
        <w:rPr>
          <w:rFonts w:hint="eastAsia"/>
          <w:sz w:val="28"/>
          <w:highlight w:val="none"/>
        </w:rPr>
        <w:t>mm</w:t>
      </w:r>
      <w:r>
        <w:rPr>
          <w:sz w:val="28"/>
          <w:highlight w:val="none"/>
        </w:rPr>
        <w:t>x200</w:t>
      </w:r>
      <w:r>
        <w:rPr>
          <w:rFonts w:hint="eastAsia"/>
          <w:sz w:val="28"/>
          <w:highlight w:val="none"/>
        </w:rPr>
        <w:t>mm或直径</w:t>
      </w:r>
      <w:r>
        <w:rPr>
          <w:sz w:val="28"/>
          <w:highlight w:val="none"/>
        </w:rPr>
        <w:t>200</w:t>
      </w:r>
      <w:r>
        <w:rPr>
          <w:rFonts w:hint="eastAsia"/>
          <w:sz w:val="28"/>
          <w:highlight w:val="none"/>
        </w:rPr>
        <w:t>毫米的地面或墙上的结构预留洞口，均须设计师明确位置尺寸标识于建筑图中。</w:t>
      </w:r>
    </w:p>
    <w:p>
      <w:pPr>
        <w:adjustRightInd w:val="0"/>
        <w:snapToGrid w:val="0"/>
        <w:spacing w:line="360" w:lineRule="auto"/>
        <w:ind w:firstLine="560" w:firstLineChars="200"/>
        <w:jc w:val="left"/>
        <w:rPr>
          <w:sz w:val="28"/>
          <w:highlight w:val="none"/>
        </w:rPr>
      </w:pPr>
      <w:r>
        <w:rPr>
          <w:rFonts w:hint="eastAsia"/>
          <w:sz w:val="28"/>
          <w:highlight w:val="none"/>
        </w:rPr>
        <w:t>1.7 结构专业要事前为电梯机房、发电机房计算并预留将来吊装电梯或发电机用的吊钩。</w:t>
      </w:r>
    </w:p>
    <w:p>
      <w:pPr>
        <w:adjustRightInd w:val="0"/>
        <w:snapToGrid w:val="0"/>
        <w:spacing w:line="360" w:lineRule="auto"/>
        <w:ind w:firstLine="560" w:firstLineChars="200"/>
        <w:jc w:val="left"/>
        <w:rPr>
          <w:sz w:val="28"/>
          <w:highlight w:val="none"/>
        </w:rPr>
      </w:pPr>
      <w:r>
        <w:rPr>
          <w:rFonts w:hint="eastAsia"/>
          <w:sz w:val="28"/>
          <w:highlight w:val="none"/>
        </w:rPr>
        <w:t>1.8 发电机房及高低压配电房的气体自动灭火设计应有简单设计说明。具体再由专业厂商二次深化。</w:t>
      </w:r>
    </w:p>
    <w:p>
      <w:pPr>
        <w:adjustRightInd w:val="0"/>
        <w:snapToGrid w:val="0"/>
        <w:spacing w:line="360" w:lineRule="auto"/>
        <w:ind w:firstLine="560" w:firstLineChars="200"/>
        <w:jc w:val="left"/>
        <w:rPr>
          <w:sz w:val="28"/>
          <w:highlight w:val="none"/>
        </w:rPr>
      </w:pPr>
      <w:r>
        <w:rPr>
          <w:rFonts w:hint="eastAsia"/>
          <w:sz w:val="28"/>
          <w:highlight w:val="none"/>
        </w:rPr>
        <w:t>1.9 建筑灯光（含泛光。重点为售楼部）的设计应预留相应电量并规划大致管线走向，必要时预埋底盒及线管，避免建筑无任何预留，影响专业灯光的管线及灯具隐藏。</w:t>
      </w:r>
    </w:p>
    <w:p>
      <w:pPr>
        <w:adjustRightInd w:val="0"/>
        <w:snapToGrid w:val="0"/>
        <w:spacing w:line="360" w:lineRule="auto"/>
        <w:ind w:firstLine="560" w:firstLineChars="200"/>
        <w:jc w:val="left"/>
        <w:rPr>
          <w:sz w:val="28"/>
          <w:highlight w:val="none"/>
        </w:rPr>
      </w:pPr>
      <w:r>
        <w:rPr>
          <w:rFonts w:hint="eastAsia"/>
          <w:sz w:val="28"/>
          <w:highlight w:val="none"/>
        </w:rPr>
        <w:t>1.10 机电设计过程中应加强不同专业间的沟通和配合，协调一致，以避免各专业之间各自为政，相互冲突的现象发生。特别当某一专业发生设计变更时，需充分征询其他各专业的意见，以做到方案最优，避免变更后与其他专业冲突，并将设计变更指令一同发出。</w:t>
      </w:r>
    </w:p>
    <w:p>
      <w:pPr>
        <w:adjustRightInd w:val="0"/>
        <w:snapToGrid w:val="0"/>
        <w:spacing w:line="360" w:lineRule="auto"/>
        <w:ind w:firstLine="560" w:firstLineChars="200"/>
        <w:jc w:val="left"/>
        <w:rPr>
          <w:sz w:val="28"/>
          <w:highlight w:val="none"/>
        </w:rPr>
      </w:pPr>
      <w:r>
        <w:rPr>
          <w:rFonts w:hint="eastAsia"/>
          <w:sz w:val="28"/>
          <w:highlight w:val="none"/>
        </w:rPr>
        <w:t>1.11 在机电设计展开之前，最好能结合消防、网络、电话、智能化、泛光等专项系统图纸，考虑相关的一些主要设备的尺寸和安装位置，以便在机电土建设计过程中综合考虑留出足够的设备安装空间。</w:t>
      </w:r>
    </w:p>
    <w:p>
      <w:pPr>
        <w:adjustRightInd w:val="0"/>
        <w:snapToGrid w:val="0"/>
        <w:spacing w:line="360" w:lineRule="auto"/>
        <w:ind w:firstLine="560" w:firstLineChars="200"/>
        <w:jc w:val="left"/>
        <w:rPr>
          <w:sz w:val="28"/>
          <w:highlight w:val="none"/>
        </w:rPr>
      </w:pPr>
      <w:r>
        <w:rPr>
          <w:rFonts w:hint="eastAsia"/>
          <w:sz w:val="28"/>
          <w:highlight w:val="none"/>
        </w:rPr>
        <w:t>1.12 对于一些规范上要求需进行特殊施工工艺或工序处理的部位和环节，但又未明确具体做法时，需在设计时明确实际做法，如过伸缩缝位置的管线处理方法等。</w:t>
      </w:r>
    </w:p>
    <w:p>
      <w:pPr>
        <w:adjustRightInd w:val="0"/>
        <w:snapToGrid w:val="0"/>
        <w:spacing w:line="360" w:lineRule="auto"/>
        <w:ind w:firstLine="560" w:firstLineChars="200"/>
        <w:jc w:val="left"/>
        <w:rPr>
          <w:sz w:val="28"/>
          <w:highlight w:val="none"/>
        </w:rPr>
      </w:pPr>
      <w:r>
        <w:rPr>
          <w:rFonts w:hint="eastAsia"/>
          <w:sz w:val="28"/>
          <w:highlight w:val="none"/>
        </w:rPr>
        <w:t>1.13 设计过程中对于空间比较狭小的位置进行设备布置设计时，不能只考虑设备的大小尺寸，还应预留一定的安装操作空间，以保证施工的顺利进行和较好的施工质量。对一些设备安装的重点部位，如管井和设备房的大小和具体位置，应在充分考虑室内设备的布置和专业验收要求，留足足够的空间，并在布置时充分结合各专业之间的设备尺寸和安装要求，进行布置，出具详细的平面和立面布置图。</w:t>
      </w:r>
    </w:p>
    <w:p>
      <w:pPr>
        <w:adjustRightInd w:val="0"/>
        <w:snapToGrid w:val="0"/>
        <w:spacing w:line="360" w:lineRule="auto"/>
        <w:ind w:firstLine="560" w:firstLineChars="200"/>
        <w:jc w:val="left"/>
        <w:rPr>
          <w:sz w:val="28"/>
          <w:highlight w:val="none"/>
        </w:rPr>
      </w:pPr>
      <w:r>
        <w:rPr>
          <w:rFonts w:hint="eastAsia"/>
          <w:sz w:val="28"/>
          <w:highlight w:val="none"/>
        </w:rPr>
        <w:t>1.14 对于地下室和会所天花等管线比较集中的位置，设计过程中应注意水电风等各专业间的交叉，应对建筑专业提出相应的空间和位置要求或调整部分管线走向，以达到既便于安装施工，又美观大方的效果。</w:t>
      </w:r>
    </w:p>
    <w:p>
      <w:pPr>
        <w:adjustRightInd w:val="0"/>
        <w:snapToGrid w:val="0"/>
        <w:spacing w:line="360" w:lineRule="auto"/>
        <w:ind w:firstLine="560" w:firstLineChars="200"/>
        <w:jc w:val="left"/>
        <w:rPr>
          <w:sz w:val="28"/>
          <w:highlight w:val="none"/>
        </w:rPr>
      </w:pPr>
      <w:bookmarkStart w:id="277" w:name="_Toc10977"/>
      <w:bookmarkStart w:id="278" w:name="_Toc342057135"/>
      <w:bookmarkStart w:id="279" w:name="_Toc61006919"/>
      <w:r>
        <w:rPr>
          <w:rFonts w:hint="eastAsia"/>
          <w:sz w:val="28"/>
          <w:highlight w:val="none"/>
        </w:rPr>
        <w:t>2、设计过程管理</w:t>
      </w:r>
      <w:bookmarkEnd w:id="277"/>
      <w:bookmarkEnd w:id="278"/>
      <w:bookmarkEnd w:id="279"/>
    </w:p>
    <w:p>
      <w:pPr>
        <w:adjustRightInd w:val="0"/>
        <w:snapToGrid w:val="0"/>
        <w:spacing w:line="360" w:lineRule="auto"/>
        <w:ind w:firstLine="560" w:firstLineChars="200"/>
        <w:jc w:val="left"/>
        <w:rPr>
          <w:sz w:val="28"/>
          <w:highlight w:val="none"/>
        </w:rPr>
      </w:pPr>
      <w:r>
        <w:rPr>
          <w:rFonts w:hint="eastAsia"/>
          <w:sz w:val="28"/>
          <w:highlight w:val="none"/>
        </w:rPr>
        <w:t>为了保证图纸质量，一些必要的中间资料需报发包人审核</w:t>
      </w:r>
    </w:p>
    <w:p>
      <w:pPr>
        <w:adjustRightInd w:val="0"/>
        <w:snapToGrid w:val="0"/>
        <w:spacing w:line="360" w:lineRule="auto"/>
        <w:ind w:firstLine="560" w:firstLineChars="200"/>
        <w:jc w:val="left"/>
        <w:rPr>
          <w:sz w:val="28"/>
          <w:highlight w:val="none"/>
        </w:rPr>
      </w:pPr>
      <w:r>
        <w:rPr>
          <w:rFonts w:hint="eastAsia"/>
          <w:sz w:val="28"/>
          <w:highlight w:val="none"/>
        </w:rPr>
        <w:t>2.1 安装专业所提供的条件，如预留洞口图（</w:t>
      </w:r>
      <w:r>
        <w:rPr>
          <w:sz w:val="28"/>
          <w:highlight w:val="none"/>
        </w:rPr>
        <w:t>200</w:t>
      </w:r>
      <w:r>
        <w:rPr>
          <w:rFonts w:hint="eastAsia"/>
          <w:sz w:val="28"/>
          <w:highlight w:val="none"/>
        </w:rPr>
        <w:t>以上）等须作为中间成果报发包人审核，各专业应会签，签单报发包人存档。</w:t>
      </w:r>
    </w:p>
    <w:p>
      <w:pPr>
        <w:adjustRightInd w:val="0"/>
        <w:snapToGrid w:val="0"/>
        <w:spacing w:line="360" w:lineRule="auto"/>
        <w:ind w:firstLine="560" w:firstLineChars="200"/>
        <w:jc w:val="left"/>
        <w:rPr>
          <w:sz w:val="28"/>
          <w:highlight w:val="none"/>
        </w:rPr>
      </w:pPr>
      <w:r>
        <w:rPr>
          <w:rFonts w:hint="eastAsia"/>
          <w:sz w:val="28"/>
          <w:highlight w:val="none"/>
        </w:rPr>
        <w:t>2.2 水电管线穿越防水部位应有具体的施工措施及说明，各专业须会签，会签单报发包人存档。</w:t>
      </w:r>
    </w:p>
    <w:p>
      <w:pPr>
        <w:adjustRightInd w:val="0"/>
        <w:snapToGrid w:val="0"/>
        <w:spacing w:line="360" w:lineRule="auto"/>
        <w:ind w:firstLine="560" w:firstLineChars="200"/>
        <w:jc w:val="left"/>
        <w:rPr>
          <w:sz w:val="28"/>
          <w:highlight w:val="none"/>
        </w:rPr>
      </w:pPr>
      <w:r>
        <w:rPr>
          <w:rFonts w:hint="eastAsia"/>
          <w:sz w:val="28"/>
          <w:highlight w:val="none"/>
        </w:rPr>
        <w:t>2.3 水电管线布置应遵守本指引的具体要求，注意管道不要与卫生间的排气洞、排烟洞冲突，各专业须会签，会签单报发包人存档。</w:t>
      </w:r>
    </w:p>
    <w:p>
      <w:pPr>
        <w:adjustRightInd w:val="0"/>
        <w:snapToGrid w:val="0"/>
        <w:spacing w:line="360" w:lineRule="auto"/>
        <w:ind w:firstLine="560" w:firstLineChars="200"/>
        <w:jc w:val="left"/>
        <w:rPr>
          <w:sz w:val="28"/>
          <w:highlight w:val="none"/>
        </w:rPr>
      </w:pPr>
      <w:r>
        <w:rPr>
          <w:rFonts w:hint="eastAsia"/>
          <w:sz w:val="28"/>
          <w:highlight w:val="none"/>
        </w:rPr>
        <w:t>2.4 消防箱、电气设备箱、门禁对讲的留洞、风管穿越墙体的留洞等建筑、结构、安装应会签，会签单报发包人存档。</w:t>
      </w:r>
    </w:p>
    <w:p>
      <w:pPr>
        <w:adjustRightInd w:val="0"/>
        <w:snapToGrid w:val="0"/>
        <w:spacing w:line="360" w:lineRule="auto"/>
        <w:ind w:firstLine="560" w:firstLineChars="200"/>
        <w:jc w:val="left"/>
        <w:rPr>
          <w:sz w:val="28"/>
          <w:highlight w:val="none"/>
        </w:rPr>
      </w:pPr>
      <w:r>
        <w:rPr>
          <w:rFonts w:hint="eastAsia"/>
          <w:sz w:val="28"/>
          <w:highlight w:val="none"/>
        </w:rPr>
        <w:t>2.5 水电专业的系统设计成型后，须报发包人审核，同意后方可开展下一步工作。</w:t>
      </w:r>
    </w:p>
    <w:p>
      <w:pPr>
        <w:adjustRightInd w:val="0"/>
        <w:snapToGrid w:val="0"/>
        <w:spacing w:line="360" w:lineRule="auto"/>
        <w:ind w:firstLine="560" w:firstLineChars="200"/>
        <w:jc w:val="left"/>
        <w:rPr>
          <w:sz w:val="28"/>
          <w:highlight w:val="none"/>
        </w:rPr>
      </w:pPr>
      <w:r>
        <w:rPr>
          <w:rFonts w:hint="eastAsia"/>
          <w:sz w:val="28"/>
          <w:highlight w:val="none"/>
        </w:rPr>
        <w:t>2.6 本项目的单体水电设计，在完成一栋的标准层后，须报发包人审核，审查是否符合规范和发包人的要求，同意后方可全面开展工作。</w:t>
      </w:r>
    </w:p>
    <w:p>
      <w:pPr>
        <w:adjustRightInd w:val="0"/>
        <w:snapToGrid w:val="0"/>
        <w:spacing w:line="360" w:lineRule="auto"/>
        <w:ind w:firstLine="560" w:firstLineChars="200"/>
        <w:jc w:val="left"/>
        <w:rPr>
          <w:sz w:val="28"/>
          <w:highlight w:val="none"/>
        </w:rPr>
      </w:pPr>
      <w:r>
        <w:rPr>
          <w:rFonts w:hint="eastAsia"/>
          <w:sz w:val="28"/>
          <w:highlight w:val="none"/>
        </w:rPr>
        <w:t>2.7 阶段性成果或出图前应报发包人审核。</w:t>
      </w:r>
    </w:p>
    <w:p>
      <w:pPr>
        <w:adjustRightInd w:val="0"/>
        <w:snapToGrid w:val="0"/>
        <w:spacing w:line="360" w:lineRule="auto"/>
        <w:ind w:firstLine="560" w:firstLineChars="200"/>
        <w:jc w:val="left"/>
        <w:rPr>
          <w:sz w:val="28"/>
          <w:highlight w:val="none"/>
        </w:rPr>
      </w:pPr>
      <w:r>
        <w:rPr>
          <w:rFonts w:hint="eastAsia"/>
          <w:sz w:val="28"/>
          <w:highlight w:val="none"/>
        </w:rPr>
        <w:t>2.8 发包人对设计过程的管理与审核，并不代替设计单位的内部质量管理，设计单位对设计质量应全面负责（业主错误要求除外）。</w:t>
      </w:r>
    </w:p>
    <w:p>
      <w:pPr>
        <w:adjustRightInd w:val="0"/>
        <w:snapToGrid w:val="0"/>
        <w:spacing w:line="360" w:lineRule="auto"/>
        <w:ind w:firstLine="560" w:firstLineChars="200"/>
        <w:jc w:val="left"/>
        <w:rPr>
          <w:sz w:val="28"/>
          <w:highlight w:val="none"/>
        </w:rPr>
      </w:pPr>
      <w:r>
        <w:rPr>
          <w:rFonts w:hint="eastAsia"/>
          <w:sz w:val="28"/>
          <w:highlight w:val="none"/>
        </w:rPr>
        <w:t>2.9 中间成果：电气开关插座的布置图应报发包人审核，同意后方可进行下道工序的工作。</w:t>
      </w:r>
    </w:p>
    <w:p>
      <w:pPr>
        <w:adjustRightInd w:val="0"/>
        <w:snapToGrid w:val="0"/>
        <w:spacing w:line="360" w:lineRule="auto"/>
        <w:ind w:firstLine="560" w:firstLineChars="200"/>
        <w:jc w:val="left"/>
        <w:rPr>
          <w:sz w:val="28"/>
          <w:highlight w:val="none"/>
        </w:rPr>
      </w:pPr>
      <w:r>
        <w:rPr>
          <w:rFonts w:hint="eastAsia"/>
          <w:sz w:val="28"/>
          <w:highlight w:val="none"/>
        </w:rPr>
        <w:t>2.10 中间成果：排水立管的位置、消防箱的位置在报发包人审核后，方可进行下道工序的设计。</w:t>
      </w:r>
    </w:p>
    <w:p>
      <w:pPr>
        <w:adjustRightInd w:val="0"/>
        <w:snapToGrid w:val="0"/>
        <w:spacing w:line="360" w:lineRule="auto"/>
        <w:ind w:firstLine="560" w:firstLineChars="200"/>
        <w:jc w:val="left"/>
        <w:rPr>
          <w:sz w:val="28"/>
          <w:highlight w:val="none"/>
        </w:rPr>
      </w:pPr>
      <w:r>
        <w:rPr>
          <w:rFonts w:hint="eastAsia"/>
          <w:sz w:val="28"/>
          <w:highlight w:val="none"/>
        </w:rPr>
        <w:t>2.11 中间成果：分集水器、散热器的布置图应报发包人审核，同意后方可进行下道工序的工作。</w:t>
      </w:r>
    </w:p>
    <w:p>
      <w:pPr>
        <w:adjustRightInd w:val="0"/>
        <w:snapToGrid w:val="0"/>
        <w:spacing w:line="360" w:lineRule="auto"/>
        <w:ind w:firstLine="560" w:firstLineChars="200"/>
        <w:jc w:val="left"/>
        <w:rPr>
          <w:sz w:val="28"/>
          <w:highlight w:val="none"/>
        </w:rPr>
      </w:pPr>
      <w:r>
        <w:rPr>
          <w:rFonts w:hint="eastAsia"/>
          <w:sz w:val="28"/>
          <w:highlight w:val="none"/>
        </w:rPr>
        <w:t>2.12 在施工过程中，对于图纸中的问题，设计单位及时解决。</w:t>
      </w:r>
    </w:p>
    <w:p>
      <w:pPr>
        <w:adjustRightInd w:val="0"/>
        <w:snapToGrid w:val="0"/>
        <w:spacing w:line="360" w:lineRule="auto"/>
        <w:ind w:firstLine="560" w:firstLineChars="200"/>
        <w:jc w:val="left"/>
        <w:rPr>
          <w:sz w:val="28"/>
          <w:highlight w:val="none"/>
        </w:rPr>
      </w:pPr>
      <w:r>
        <w:rPr>
          <w:rFonts w:hint="eastAsia"/>
          <w:sz w:val="28"/>
          <w:highlight w:val="none"/>
        </w:rPr>
        <w:t>2.13 空调的室内室外机位，插座与排水应报具体设计报发包人审核。</w:t>
      </w:r>
    </w:p>
    <w:p>
      <w:pPr>
        <w:adjustRightInd w:val="0"/>
        <w:snapToGrid w:val="0"/>
        <w:spacing w:line="360" w:lineRule="auto"/>
        <w:ind w:firstLine="560" w:firstLineChars="200"/>
        <w:jc w:val="left"/>
        <w:rPr>
          <w:sz w:val="28"/>
          <w:highlight w:val="none"/>
        </w:rPr>
      </w:pPr>
      <w:r>
        <w:rPr>
          <w:rFonts w:hint="eastAsia"/>
          <w:sz w:val="28"/>
          <w:highlight w:val="none"/>
        </w:rPr>
        <w:t>2.14 对于多栋楼房的机电设计，在出图前应报一套完整的施工图报发包人审核，作为其余栋号的出图标准。</w:t>
      </w:r>
    </w:p>
    <w:p>
      <w:pPr>
        <w:adjustRightInd w:val="0"/>
        <w:snapToGrid w:val="0"/>
        <w:spacing w:line="360" w:lineRule="auto"/>
        <w:ind w:firstLine="560" w:firstLineChars="200"/>
        <w:jc w:val="left"/>
        <w:rPr>
          <w:sz w:val="28"/>
          <w:highlight w:val="none"/>
        </w:rPr>
      </w:pPr>
      <w:r>
        <w:rPr>
          <w:rFonts w:hint="eastAsia"/>
          <w:sz w:val="28"/>
          <w:highlight w:val="none"/>
        </w:rPr>
        <w:t>2.15 结构留洞图应有机电专业的会签。</w:t>
      </w:r>
    </w:p>
    <w:p>
      <w:pPr>
        <w:adjustRightInd w:val="0"/>
        <w:snapToGrid w:val="0"/>
        <w:spacing w:line="360" w:lineRule="auto"/>
        <w:ind w:firstLine="560" w:firstLineChars="200"/>
        <w:jc w:val="left"/>
        <w:rPr>
          <w:sz w:val="28"/>
          <w:highlight w:val="none"/>
        </w:rPr>
      </w:pPr>
      <w:r>
        <w:rPr>
          <w:rFonts w:hint="eastAsia"/>
          <w:sz w:val="28"/>
          <w:highlight w:val="none"/>
        </w:rPr>
        <w:t>2.16须出机电各专业点位综合图。</w:t>
      </w:r>
    </w:p>
    <w:p>
      <w:pPr>
        <w:adjustRightInd w:val="0"/>
        <w:snapToGrid w:val="0"/>
        <w:spacing w:line="360" w:lineRule="auto"/>
        <w:ind w:firstLine="560" w:firstLineChars="200"/>
        <w:jc w:val="left"/>
        <w:rPr>
          <w:sz w:val="28"/>
          <w:highlight w:val="none"/>
        </w:rPr>
      </w:pPr>
      <w:r>
        <w:rPr>
          <w:sz w:val="28"/>
          <w:highlight w:val="none"/>
        </w:rPr>
        <w:t>(</w:t>
      </w:r>
      <w:r>
        <w:rPr>
          <w:rFonts w:hint="eastAsia"/>
          <w:sz w:val="28"/>
          <w:highlight w:val="none"/>
        </w:rPr>
        <w:t>以下空白</w:t>
      </w:r>
      <w:r>
        <w:rPr>
          <w:sz w:val="28"/>
          <w:highlight w:val="none"/>
        </w:rPr>
        <w:t>)</w:t>
      </w:r>
    </w:p>
    <w:p>
      <w:pPr>
        <w:pStyle w:val="4"/>
        <w:numPr>
          <w:ilvl w:val="0"/>
          <w:numId w:val="0"/>
        </w:numPr>
        <w:adjustRightInd w:val="0"/>
        <w:snapToGrid w:val="0"/>
        <w:spacing w:before="0" w:after="0" w:line="300" w:lineRule="auto"/>
        <w:jc w:val="center"/>
        <w:rPr>
          <w:b w:val="0"/>
          <w:sz w:val="28"/>
          <w:highlight w:val="none"/>
        </w:rPr>
      </w:pPr>
    </w:p>
    <w:sectPr>
      <w:footerReference r:id="rId3" w:type="default"/>
      <w:pgSz w:w="11906" w:h="16838"/>
      <w:pgMar w:top="1701" w:right="1134" w:bottom="1134" w:left="1134" w:header="851" w:footer="992" w:gutter="0"/>
      <w:pgNumType w:fmt="numberInDash"/>
      <w:cols w:space="720" w:num="1"/>
      <w:titlePg/>
      <w:docGrid w:type="linesAndChars" w:linePitch="5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fldChar w:fldCharType="begin"/>
    </w:r>
    <w:r>
      <w:rPr>
        <w:rStyle w:val="56"/>
      </w:rPr>
      <w:instrText xml:space="preserve"> PAGE </w:instrText>
    </w:r>
    <w:r>
      <w:fldChar w:fldCharType="separate"/>
    </w:r>
    <w:r>
      <w:rPr>
        <w:rStyle w:val="56"/>
      </w:rPr>
      <w:t>- 42 -</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C"/>
    <w:multiLevelType w:val="multilevel"/>
    <w:tmpl w:val="0000001C"/>
    <w:lvl w:ilvl="0" w:tentative="0">
      <w:start w:val="1"/>
      <w:numFmt w:val="chineseCountingThousand"/>
      <w:pStyle w:val="4"/>
      <w:lvlText w:val="%1、"/>
      <w:lvlJc w:val="left"/>
      <w:pPr>
        <w:tabs>
          <w:tab w:val="left" w:pos="28"/>
        </w:tabs>
        <w:ind w:left="28" w:hanging="28"/>
      </w:pPr>
      <w:rPr>
        <w:rFonts w:hint="eastAsia"/>
      </w:rPr>
    </w:lvl>
    <w:lvl w:ilvl="1" w:tentative="0">
      <w:start w:val="1"/>
      <w:numFmt w:val="decimal"/>
      <w:pStyle w:val="5"/>
      <w:isLgl/>
      <w:suff w:val="space"/>
      <w:lvlText w:val="%1.%2"/>
      <w:lvlJc w:val="left"/>
      <w:pPr>
        <w:ind w:left="567" w:hanging="567"/>
      </w:pPr>
      <w:rPr>
        <w:rFonts w:hint="eastAsia"/>
      </w:rPr>
    </w:lvl>
    <w:lvl w:ilvl="2" w:tentative="0">
      <w:start w:val="1"/>
      <w:numFmt w:val="decimal"/>
      <w:pStyle w:val="6"/>
      <w:isLgl/>
      <w:suff w:val="space"/>
      <w:lvlText w:val="%1.%2.%3"/>
      <w:lvlJc w:val="left"/>
      <w:pPr>
        <w:ind w:left="1021" w:hanging="737"/>
      </w:pPr>
      <w:rPr>
        <w:rFonts w:hint="eastAsia" w:ascii="Times New Roman" w:hAnsi="Times New Roman"/>
        <w:b w:val="0"/>
        <w:bCs w:val="0"/>
        <w:i w:val="0"/>
        <w:iCs w:val="0"/>
        <w:caps w:val="0"/>
        <w:smallCaps w:val="0"/>
        <w:strike w:val="0"/>
        <w:dstrike w:val="0"/>
        <w:color w:val="000000"/>
        <w:spacing w:val="0"/>
        <w:position w:val="0"/>
        <w:u w:val="none"/>
        <w14:shadow w14:blurRad="0" w14:dist="0" w14:dir="0" w14:sx="0" w14:sy="0" w14:kx="0" w14:ky="0" w14:algn="none">
          <w14:srgbClr w14:val="000000"/>
        </w14:shadow>
      </w:rPr>
    </w:lvl>
    <w:lvl w:ilvl="3" w:tentative="0">
      <w:start w:val="1"/>
      <w:numFmt w:val="decimal"/>
      <w:lvlRestart w:val="0"/>
      <w:isLgl/>
      <w:lvlText w:val="图%1.%4"/>
      <w:lvlJc w:val="center"/>
      <w:pPr>
        <w:tabs>
          <w:tab w:val="left" w:pos="0"/>
        </w:tabs>
      </w:pPr>
      <w:rPr>
        <w:rFonts w:hint="eastAsia"/>
      </w:rPr>
    </w:lvl>
    <w:lvl w:ilvl="4" w:tentative="0">
      <w:start w:val="1"/>
      <w:numFmt w:val="decimal"/>
      <w:lvlRestart w:val="0"/>
      <w:isLgl/>
      <w:lvlText w:val="表%1.%5"/>
      <w:lvlJc w:val="center"/>
      <w:pPr>
        <w:tabs>
          <w:tab w:val="left" w:pos="0"/>
        </w:tabs>
      </w:pPr>
      <w:rPr>
        <w:rFonts w:hint="eastAsia"/>
      </w:rPr>
    </w:lvl>
    <w:lvl w:ilvl="5" w:tentative="0">
      <w:start w:val="1"/>
      <w:numFmt w:val="decimal"/>
      <w:lvlText w:val="%1.%2.%3.%4.%5.%6"/>
      <w:lvlJc w:val="left"/>
      <w:pPr>
        <w:tabs>
          <w:tab w:val="left" w:pos="2863"/>
        </w:tabs>
        <w:ind w:left="2863" w:hanging="1134"/>
      </w:pPr>
      <w:rPr>
        <w:rFonts w:hint="eastAsia"/>
      </w:rPr>
    </w:lvl>
    <w:lvl w:ilvl="6" w:tentative="0">
      <w:start w:val="1"/>
      <w:numFmt w:val="decimal"/>
      <w:lvlText w:val="%1.%2.%3.%4.%5.%6.%7"/>
      <w:lvlJc w:val="left"/>
      <w:pPr>
        <w:tabs>
          <w:tab w:val="left" w:pos="3430"/>
        </w:tabs>
        <w:ind w:left="3430" w:hanging="1276"/>
      </w:pPr>
      <w:rPr>
        <w:rFonts w:hint="eastAsia"/>
      </w:rPr>
    </w:lvl>
    <w:lvl w:ilvl="7" w:tentative="0">
      <w:start w:val="1"/>
      <w:numFmt w:val="decimal"/>
      <w:lvlText w:val="%1.%2.%3.%4.%5.%6.%7.%8"/>
      <w:lvlJc w:val="left"/>
      <w:pPr>
        <w:tabs>
          <w:tab w:val="left" w:pos="3997"/>
        </w:tabs>
        <w:ind w:left="3997" w:hanging="1418"/>
      </w:pPr>
      <w:rPr>
        <w:rFonts w:hint="eastAsia"/>
      </w:rPr>
    </w:lvl>
    <w:lvl w:ilvl="8" w:tentative="0">
      <w:start w:val="1"/>
      <w:numFmt w:val="decimal"/>
      <w:lvlText w:val="%1.%2.%3.%4.%5.%6.%7.%8.%9"/>
      <w:lvlJc w:val="left"/>
      <w:pPr>
        <w:tabs>
          <w:tab w:val="left" w:pos="4705"/>
        </w:tabs>
        <w:ind w:left="4705" w:hanging="1700"/>
      </w:pPr>
      <w:rPr>
        <w:rFonts w:hint="eastAsia"/>
      </w:rPr>
    </w:lvl>
  </w:abstractNum>
  <w:abstractNum w:abstractNumId="1">
    <w:nsid w:val="79C41BAD"/>
    <w:multiLevelType w:val="multilevel"/>
    <w:tmpl w:val="79C41BAD"/>
    <w:lvl w:ilvl="0" w:tentative="0">
      <w:start w:val="2"/>
      <w:numFmt w:val="decimal"/>
      <w:lvlText w:val="%1"/>
      <w:lvlJc w:val="left"/>
      <w:pPr>
        <w:ind w:left="563" w:hanging="563"/>
      </w:pPr>
      <w:rPr>
        <w:rFonts w:hint="default"/>
      </w:rPr>
    </w:lvl>
    <w:lvl w:ilvl="1" w:tentative="0">
      <w:start w:val="7"/>
      <w:numFmt w:val="decimal"/>
      <w:lvlText w:val="%1.%2"/>
      <w:lvlJc w:val="left"/>
      <w:pPr>
        <w:ind w:left="843" w:hanging="563"/>
      </w:pPr>
      <w:rPr>
        <w:rFonts w:hint="default"/>
      </w:rPr>
    </w:lvl>
    <w:lvl w:ilvl="2" w:tentative="0">
      <w:start w:val="4"/>
      <w:numFmt w:val="decimal"/>
      <w:lvlText w:val="%1.%2.%3"/>
      <w:lvlJc w:val="left"/>
      <w:pPr>
        <w:ind w:left="1280" w:hanging="720"/>
      </w:pPr>
      <w:rPr>
        <w:rFonts w:hint="default"/>
      </w:rPr>
    </w:lvl>
    <w:lvl w:ilvl="3" w:tentative="0">
      <w:start w:val="1"/>
      <w:numFmt w:val="decimal"/>
      <w:lvlText w:val="%1.%2.%3.%4"/>
      <w:lvlJc w:val="left"/>
      <w:pPr>
        <w:ind w:left="1920" w:hanging="1080"/>
      </w:pPr>
      <w:rPr>
        <w:rFonts w:hint="default"/>
      </w:rPr>
    </w:lvl>
    <w:lvl w:ilvl="4" w:tentative="0">
      <w:start w:val="1"/>
      <w:numFmt w:val="decimal"/>
      <w:lvlText w:val="%1.%2.%3.%4.%5"/>
      <w:lvlJc w:val="left"/>
      <w:pPr>
        <w:ind w:left="2200" w:hanging="1080"/>
      </w:pPr>
      <w:rPr>
        <w:rFonts w:hint="default"/>
      </w:rPr>
    </w:lvl>
    <w:lvl w:ilvl="5" w:tentative="0">
      <w:start w:val="1"/>
      <w:numFmt w:val="decimal"/>
      <w:lvlText w:val="%1.%2.%3.%4.%5.%6"/>
      <w:lvlJc w:val="left"/>
      <w:pPr>
        <w:ind w:left="2840" w:hanging="1440"/>
      </w:pPr>
      <w:rPr>
        <w:rFonts w:hint="default"/>
      </w:rPr>
    </w:lvl>
    <w:lvl w:ilvl="6" w:tentative="0">
      <w:start w:val="1"/>
      <w:numFmt w:val="decimal"/>
      <w:lvlText w:val="%1.%2.%3.%4.%5.%6.%7"/>
      <w:lvlJc w:val="left"/>
      <w:pPr>
        <w:ind w:left="3120" w:hanging="1440"/>
      </w:pPr>
      <w:rPr>
        <w:rFonts w:hint="default"/>
      </w:rPr>
    </w:lvl>
    <w:lvl w:ilvl="7" w:tentative="0">
      <w:start w:val="1"/>
      <w:numFmt w:val="decimal"/>
      <w:lvlText w:val="%1.%2.%3.%4.%5.%6.%7.%8"/>
      <w:lvlJc w:val="left"/>
      <w:pPr>
        <w:ind w:left="3760" w:hanging="1800"/>
      </w:pPr>
      <w:rPr>
        <w:rFonts w:hint="default"/>
      </w:rPr>
    </w:lvl>
    <w:lvl w:ilvl="8" w:tentative="0">
      <w:start w:val="1"/>
      <w:numFmt w:val="decimal"/>
      <w:lvlText w:val="%1.%2.%3.%4.%5.%6.%7.%8.%9"/>
      <w:lvlJc w:val="left"/>
      <w:pPr>
        <w:ind w:left="440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jNDhiMjRhNGRjYjdhODVkYTdlMTVlZTQ4NTM0ZDMifQ=="/>
  </w:docVars>
  <w:rsids>
    <w:rsidRoot w:val="002F3DC1"/>
    <w:rsid w:val="00011743"/>
    <w:rsid w:val="0001670E"/>
    <w:rsid w:val="0003429D"/>
    <w:rsid w:val="00040695"/>
    <w:rsid w:val="00041965"/>
    <w:rsid w:val="000425DC"/>
    <w:rsid w:val="00044656"/>
    <w:rsid w:val="00046461"/>
    <w:rsid w:val="00057E62"/>
    <w:rsid w:val="00064F81"/>
    <w:rsid w:val="00067D55"/>
    <w:rsid w:val="000816DC"/>
    <w:rsid w:val="000820D6"/>
    <w:rsid w:val="00082C0F"/>
    <w:rsid w:val="00083F7A"/>
    <w:rsid w:val="00086111"/>
    <w:rsid w:val="000871EE"/>
    <w:rsid w:val="000941B1"/>
    <w:rsid w:val="0009558D"/>
    <w:rsid w:val="00097C71"/>
    <w:rsid w:val="000A056B"/>
    <w:rsid w:val="000A0E82"/>
    <w:rsid w:val="000B69D7"/>
    <w:rsid w:val="000B6ECB"/>
    <w:rsid w:val="000B7280"/>
    <w:rsid w:val="000C0C4F"/>
    <w:rsid w:val="000C1790"/>
    <w:rsid w:val="000C54A6"/>
    <w:rsid w:val="000D70E9"/>
    <w:rsid w:val="000D72F5"/>
    <w:rsid w:val="000D7916"/>
    <w:rsid w:val="000E4AC0"/>
    <w:rsid w:val="000E4BA4"/>
    <w:rsid w:val="000F0C78"/>
    <w:rsid w:val="000F29CD"/>
    <w:rsid w:val="000F6954"/>
    <w:rsid w:val="000F762D"/>
    <w:rsid w:val="000F7D7F"/>
    <w:rsid w:val="00106F9F"/>
    <w:rsid w:val="00110BA7"/>
    <w:rsid w:val="00115C9F"/>
    <w:rsid w:val="00124BFB"/>
    <w:rsid w:val="001379C1"/>
    <w:rsid w:val="00142079"/>
    <w:rsid w:val="00155ABD"/>
    <w:rsid w:val="00163B36"/>
    <w:rsid w:val="00164817"/>
    <w:rsid w:val="0017350D"/>
    <w:rsid w:val="00183869"/>
    <w:rsid w:val="0019069C"/>
    <w:rsid w:val="00191BF4"/>
    <w:rsid w:val="001A12DD"/>
    <w:rsid w:val="001A1D5E"/>
    <w:rsid w:val="001A36EB"/>
    <w:rsid w:val="001B0318"/>
    <w:rsid w:val="001B0C0C"/>
    <w:rsid w:val="001B28CA"/>
    <w:rsid w:val="001B5920"/>
    <w:rsid w:val="001B5D55"/>
    <w:rsid w:val="001C0EC6"/>
    <w:rsid w:val="001C22FB"/>
    <w:rsid w:val="001C2743"/>
    <w:rsid w:val="001C590F"/>
    <w:rsid w:val="001C7269"/>
    <w:rsid w:val="001C7FD8"/>
    <w:rsid w:val="001D1235"/>
    <w:rsid w:val="001D5092"/>
    <w:rsid w:val="001E088D"/>
    <w:rsid w:val="001E4C80"/>
    <w:rsid w:val="001E6469"/>
    <w:rsid w:val="001E75E4"/>
    <w:rsid w:val="00203F97"/>
    <w:rsid w:val="0020624C"/>
    <w:rsid w:val="002126D2"/>
    <w:rsid w:val="00220A54"/>
    <w:rsid w:val="0024024B"/>
    <w:rsid w:val="00241E44"/>
    <w:rsid w:val="00241EBF"/>
    <w:rsid w:val="00242529"/>
    <w:rsid w:val="00242DF3"/>
    <w:rsid w:val="002452C2"/>
    <w:rsid w:val="0025186A"/>
    <w:rsid w:val="002529E3"/>
    <w:rsid w:val="00254CEC"/>
    <w:rsid w:val="0025592A"/>
    <w:rsid w:val="00256C4B"/>
    <w:rsid w:val="002609DB"/>
    <w:rsid w:val="002667F5"/>
    <w:rsid w:val="0027127B"/>
    <w:rsid w:val="00276EA4"/>
    <w:rsid w:val="00283CC7"/>
    <w:rsid w:val="00283D89"/>
    <w:rsid w:val="00286586"/>
    <w:rsid w:val="00295877"/>
    <w:rsid w:val="00295CC3"/>
    <w:rsid w:val="002A31C3"/>
    <w:rsid w:val="002A331B"/>
    <w:rsid w:val="002A5CFE"/>
    <w:rsid w:val="002B008D"/>
    <w:rsid w:val="002B1227"/>
    <w:rsid w:val="002B2E2B"/>
    <w:rsid w:val="002B3396"/>
    <w:rsid w:val="002B3BF2"/>
    <w:rsid w:val="002C2EFC"/>
    <w:rsid w:val="002C58AB"/>
    <w:rsid w:val="002C5E58"/>
    <w:rsid w:val="002D07C2"/>
    <w:rsid w:val="002D43E0"/>
    <w:rsid w:val="002D7D37"/>
    <w:rsid w:val="002E538B"/>
    <w:rsid w:val="002E6D63"/>
    <w:rsid w:val="002F17F0"/>
    <w:rsid w:val="002F2540"/>
    <w:rsid w:val="002F3DC1"/>
    <w:rsid w:val="002F65E2"/>
    <w:rsid w:val="002F68D4"/>
    <w:rsid w:val="00302AA7"/>
    <w:rsid w:val="00303BF4"/>
    <w:rsid w:val="00303F89"/>
    <w:rsid w:val="0030572D"/>
    <w:rsid w:val="00306DE5"/>
    <w:rsid w:val="00322542"/>
    <w:rsid w:val="003258F8"/>
    <w:rsid w:val="003325E1"/>
    <w:rsid w:val="00333F24"/>
    <w:rsid w:val="003413AD"/>
    <w:rsid w:val="00344645"/>
    <w:rsid w:val="003451CE"/>
    <w:rsid w:val="00347C09"/>
    <w:rsid w:val="00350E3D"/>
    <w:rsid w:val="00351F51"/>
    <w:rsid w:val="003541B1"/>
    <w:rsid w:val="00357331"/>
    <w:rsid w:val="0036513C"/>
    <w:rsid w:val="003672D4"/>
    <w:rsid w:val="00374ED4"/>
    <w:rsid w:val="00381927"/>
    <w:rsid w:val="00381C70"/>
    <w:rsid w:val="00382585"/>
    <w:rsid w:val="00387112"/>
    <w:rsid w:val="00387D2D"/>
    <w:rsid w:val="003A1280"/>
    <w:rsid w:val="003A2807"/>
    <w:rsid w:val="003A46D5"/>
    <w:rsid w:val="003A4D72"/>
    <w:rsid w:val="003A4E0A"/>
    <w:rsid w:val="003B18DF"/>
    <w:rsid w:val="003B3349"/>
    <w:rsid w:val="003C356D"/>
    <w:rsid w:val="003C5EB1"/>
    <w:rsid w:val="003E07CB"/>
    <w:rsid w:val="003E0E1D"/>
    <w:rsid w:val="003E11A5"/>
    <w:rsid w:val="003E4607"/>
    <w:rsid w:val="003E5049"/>
    <w:rsid w:val="003F0568"/>
    <w:rsid w:val="003F4F4C"/>
    <w:rsid w:val="003F588C"/>
    <w:rsid w:val="003F65E5"/>
    <w:rsid w:val="003F7E6D"/>
    <w:rsid w:val="00413856"/>
    <w:rsid w:val="004155DF"/>
    <w:rsid w:val="004213F2"/>
    <w:rsid w:val="0042502C"/>
    <w:rsid w:val="00425BB5"/>
    <w:rsid w:val="004314B7"/>
    <w:rsid w:val="00431BA3"/>
    <w:rsid w:val="00433BD3"/>
    <w:rsid w:val="004350EC"/>
    <w:rsid w:val="00437F8F"/>
    <w:rsid w:val="00441116"/>
    <w:rsid w:val="00444361"/>
    <w:rsid w:val="00446226"/>
    <w:rsid w:val="004538CD"/>
    <w:rsid w:val="004576D3"/>
    <w:rsid w:val="00464889"/>
    <w:rsid w:val="00465962"/>
    <w:rsid w:val="00471009"/>
    <w:rsid w:val="0048020C"/>
    <w:rsid w:val="00482FAB"/>
    <w:rsid w:val="00483C64"/>
    <w:rsid w:val="004840D6"/>
    <w:rsid w:val="00487759"/>
    <w:rsid w:val="00491D31"/>
    <w:rsid w:val="004A62AD"/>
    <w:rsid w:val="004B1997"/>
    <w:rsid w:val="004B62AD"/>
    <w:rsid w:val="004B6727"/>
    <w:rsid w:val="004B6DD1"/>
    <w:rsid w:val="004C2F5B"/>
    <w:rsid w:val="004C74A8"/>
    <w:rsid w:val="004D0103"/>
    <w:rsid w:val="004D5D4E"/>
    <w:rsid w:val="004F0809"/>
    <w:rsid w:val="004F3130"/>
    <w:rsid w:val="004F4B9B"/>
    <w:rsid w:val="004F61A7"/>
    <w:rsid w:val="005018B1"/>
    <w:rsid w:val="00506C05"/>
    <w:rsid w:val="005074EF"/>
    <w:rsid w:val="00515B3A"/>
    <w:rsid w:val="00517A94"/>
    <w:rsid w:val="0052247B"/>
    <w:rsid w:val="00530678"/>
    <w:rsid w:val="00532AD8"/>
    <w:rsid w:val="00536C22"/>
    <w:rsid w:val="00537EB1"/>
    <w:rsid w:val="00556EBD"/>
    <w:rsid w:val="00562602"/>
    <w:rsid w:val="005634F6"/>
    <w:rsid w:val="00566719"/>
    <w:rsid w:val="005704A2"/>
    <w:rsid w:val="005801F3"/>
    <w:rsid w:val="0058152B"/>
    <w:rsid w:val="00583219"/>
    <w:rsid w:val="005907CC"/>
    <w:rsid w:val="0059314A"/>
    <w:rsid w:val="00595CE7"/>
    <w:rsid w:val="005A0815"/>
    <w:rsid w:val="005A5996"/>
    <w:rsid w:val="005B2DB5"/>
    <w:rsid w:val="005C0A40"/>
    <w:rsid w:val="005C5B0B"/>
    <w:rsid w:val="005C6105"/>
    <w:rsid w:val="005D0274"/>
    <w:rsid w:val="005E66C3"/>
    <w:rsid w:val="005F0838"/>
    <w:rsid w:val="005F1C46"/>
    <w:rsid w:val="005F507A"/>
    <w:rsid w:val="005F739A"/>
    <w:rsid w:val="00607988"/>
    <w:rsid w:val="0061292D"/>
    <w:rsid w:val="00622A9B"/>
    <w:rsid w:val="00633AD5"/>
    <w:rsid w:val="00635793"/>
    <w:rsid w:val="0064035B"/>
    <w:rsid w:val="006730B4"/>
    <w:rsid w:val="0067377E"/>
    <w:rsid w:val="0068070A"/>
    <w:rsid w:val="00690DF9"/>
    <w:rsid w:val="006922F1"/>
    <w:rsid w:val="00695D72"/>
    <w:rsid w:val="00696C10"/>
    <w:rsid w:val="006A6DE8"/>
    <w:rsid w:val="006C31AD"/>
    <w:rsid w:val="006C3257"/>
    <w:rsid w:val="006E1C7B"/>
    <w:rsid w:val="006E4040"/>
    <w:rsid w:val="006E7E3E"/>
    <w:rsid w:val="006F0BF9"/>
    <w:rsid w:val="006F3C5A"/>
    <w:rsid w:val="006F4236"/>
    <w:rsid w:val="006F507B"/>
    <w:rsid w:val="006F6110"/>
    <w:rsid w:val="007035DA"/>
    <w:rsid w:val="00712C7F"/>
    <w:rsid w:val="00713CD3"/>
    <w:rsid w:val="00726854"/>
    <w:rsid w:val="00733745"/>
    <w:rsid w:val="0073677F"/>
    <w:rsid w:val="007427F8"/>
    <w:rsid w:val="0074413B"/>
    <w:rsid w:val="00752F1C"/>
    <w:rsid w:val="00755851"/>
    <w:rsid w:val="00761A52"/>
    <w:rsid w:val="0076288C"/>
    <w:rsid w:val="00762AA8"/>
    <w:rsid w:val="00762EE3"/>
    <w:rsid w:val="00773FF1"/>
    <w:rsid w:val="007807E0"/>
    <w:rsid w:val="00781817"/>
    <w:rsid w:val="007871B3"/>
    <w:rsid w:val="00792852"/>
    <w:rsid w:val="00796E84"/>
    <w:rsid w:val="007974C6"/>
    <w:rsid w:val="007A5020"/>
    <w:rsid w:val="007A7C20"/>
    <w:rsid w:val="007B0217"/>
    <w:rsid w:val="007B209E"/>
    <w:rsid w:val="007B5F03"/>
    <w:rsid w:val="007B77AB"/>
    <w:rsid w:val="007C4E0F"/>
    <w:rsid w:val="007E14CF"/>
    <w:rsid w:val="008005C1"/>
    <w:rsid w:val="00804704"/>
    <w:rsid w:val="008066D7"/>
    <w:rsid w:val="008137F0"/>
    <w:rsid w:val="008165AB"/>
    <w:rsid w:val="00824640"/>
    <w:rsid w:val="00836345"/>
    <w:rsid w:val="00836C94"/>
    <w:rsid w:val="00843347"/>
    <w:rsid w:val="00845C19"/>
    <w:rsid w:val="00855C5B"/>
    <w:rsid w:val="0086580F"/>
    <w:rsid w:val="00867ED9"/>
    <w:rsid w:val="008705CE"/>
    <w:rsid w:val="00881BCD"/>
    <w:rsid w:val="00885E58"/>
    <w:rsid w:val="00886F26"/>
    <w:rsid w:val="00890D3D"/>
    <w:rsid w:val="0089196B"/>
    <w:rsid w:val="008A0186"/>
    <w:rsid w:val="008A217A"/>
    <w:rsid w:val="008A75C4"/>
    <w:rsid w:val="008A77E7"/>
    <w:rsid w:val="008B1EBA"/>
    <w:rsid w:val="008C0708"/>
    <w:rsid w:val="008C5315"/>
    <w:rsid w:val="008D5F2B"/>
    <w:rsid w:val="008E07AC"/>
    <w:rsid w:val="008E3EAF"/>
    <w:rsid w:val="008E7F08"/>
    <w:rsid w:val="008F668D"/>
    <w:rsid w:val="008F6C7D"/>
    <w:rsid w:val="00906497"/>
    <w:rsid w:val="0090677C"/>
    <w:rsid w:val="00913343"/>
    <w:rsid w:val="0093505F"/>
    <w:rsid w:val="00942388"/>
    <w:rsid w:val="00944638"/>
    <w:rsid w:val="00952057"/>
    <w:rsid w:val="009527E3"/>
    <w:rsid w:val="00952EE3"/>
    <w:rsid w:val="00955E43"/>
    <w:rsid w:val="00962380"/>
    <w:rsid w:val="009752FB"/>
    <w:rsid w:val="00987102"/>
    <w:rsid w:val="00990F26"/>
    <w:rsid w:val="00993BB7"/>
    <w:rsid w:val="00993E7D"/>
    <w:rsid w:val="009A0AE4"/>
    <w:rsid w:val="009A1632"/>
    <w:rsid w:val="009B508A"/>
    <w:rsid w:val="009B7659"/>
    <w:rsid w:val="009C03A6"/>
    <w:rsid w:val="009C3836"/>
    <w:rsid w:val="009C4708"/>
    <w:rsid w:val="009C7B39"/>
    <w:rsid w:val="009D057A"/>
    <w:rsid w:val="009E309E"/>
    <w:rsid w:val="009E6C7A"/>
    <w:rsid w:val="009F124E"/>
    <w:rsid w:val="009F25C2"/>
    <w:rsid w:val="00A034FE"/>
    <w:rsid w:val="00A04BBF"/>
    <w:rsid w:val="00A076D0"/>
    <w:rsid w:val="00A07E62"/>
    <w:rsid w:val="00A11BFD"/>
    <w:rsid w:val="00A13EC0"/>
    <w:rsid w:val="00A15C5F"/>
    <w:rsid w:val="00A2284E"/>
    <w:rsid w:val="00A23826"/>
    <w:rsid w:val="00A267A8"/>
    <w:rsid w:val="00A319F1"/>
    <w:rsid w:val="00A4098E"/>
    <w:rsid w:val="00A41791"/>
    <w:rsid w:val="00A43311"/>
    <w:rsid w:val="00A44AE1"/>
    <w:rsid w:val="00A46357"/>
    <w:rsid w:val="00A62EBE"/>
    <w:rsid w:val="00A63CBB"/>
    <w:rsid w:val="00A659BD"/>
    <w:rsid w:val="00A672E3"/>
    <w:rsid w:val="00A71798"/>
    <w:rsid w:val="00A72225"/>
    <w:rsid w:val="00A73DCE"/>
    <w:rsid w:val="00A74D7E"/>
    <w:rsid w:val="00A80626"/>
    <w:rsid w:val="00A90397"/>
    <w:rsid w:val="00A9140F"/>
    <w:rsid w:val="00A92DD4"/>
    <w:rsid w:val="00A956EC"/>
    <w:rsid w:val="00AA26FC"/>
    <w:rsid w:val="00AA3970"/>
    <w:rsid w:val="00AA3E66"/>
    <w:rsid w:val="00AA6D2C"/>
    <w:rsid w:val="00AB2C6B"/>
    <w:rsid w:val="00AB49B4"/>
    <w:rsid w:val="00AB6EEA"/>
    <w:rsid w:val="00AC3C9C"/>
    <w:rsid w:val="00AC447B"/>
    <w:rsid w:val="00AD003A"/>
    <w:rsid w:val="00AE77D4"/>
    <w:rsid w:val="00AF6B1B"/>
    <w:rsid w:val="00B034B7"/>
    <w:rsid w:val="00B10517"/>
    <w:rsid w:val="00B11F6C"/>
    <w:rsid w:val="00B22D25"/>
    <w:rsid w:val="00B30BE4"/>
    <w:rsid w:val="00B4278D"/>
    <w:rsid w:val="00B43FDD"/>
    <w:rsid w:val="00B45584"/>
    <w:rsid w:val="00B5034B"/>
    <w:rsid w:val="00B516CB"/>
    <w:rsid w:val="00B526D7"/>
    <w:rsid w:val="00B542BE"/>
    <w:rsid w:val="00B55DD0"/>
    <w:rsid w:val="00B60A2E"/>
    <w:rsid w:val="00B7108F"/>
    <w:rsid w:val="00B71314"/>
    <w:rsid w:val="00B73D52"/>
    <w:rsid w:val="00B800B7"/>
    <w:rsid w:val="00B81844"/>
    <w:rsid w:val="00B85CF0"/>
    <w:rsid w:val="00B91867"/>
    <w:rsid w:val="00B94CBF"/>
    <w:rsid w:val="00B96FDD"/>
    <w:rsid w:val="00BA026C"/>
    <w:rsid w:val="00BA2368"/>
    <w:rsid w:val="00BB7537"/>
    <w:rsid w:val="00BD4704"/>
    <w:rsid w:val="00BD54B9"/>
    <w:rsid w:val="00BE4FE0"/>
    <w:rsid w:val="00BF4F0D"/>
    <w:rsid w:val="00BF5733"/>
    <w:rsid w:val="00C02DAF"/>
    <w:rsid w:val="00C02F85"/>
    <w:rsid w:val="00C04C33"/>
    <w:rsid w:val="00C10492"/>
    <w:rsid w:val="00C104B9"/>
    <w:rsid w:val="00C1074B"/>
    <w:rsid w:val="00C10A8D"/>
    <w:rsid w:val="00C172EF"/>
    <w:rsid w:val="00C20A96"/>
    <w:rsid w:val="00C23A53"/>
    <w:rsid w:val="00C23F17"/>
    <w:rsid w:val="00C43193"/>
    <w:rsid w:val="00C50E60"/>
    <w:rsid w:val="00C52339"/>
    <w:rsid w:val="00C54FB4"/>
    <w:rsid w:val="00C56CB9"/>
    <w:rsid w:val="00C60A2E"/>
    <w:rsid w:val="00C6460D"/>
    <w:rsid w:val="00C72383"/>
    <w:rsid w:val="00C7690B"/>
    <w:rsid w:val="00C80617"/>
    <w:rsid w:val="00C82723"/>
    <w:rsid w:val="00C86CF8"/>
    <w:rsid w:val="00C86FD6"/>
    <w:rsid w:val="00C93493"/>
    <w:rsid w:val="00C943FF"/>
    <w:rsid w:val="00C95BF1"/>
    <w:rsid w:val="00CA39C8"/>
    <w:rsid w:val="00CA3D7B"/>
    <w:rsid w:val="00CA7497"/>
    <w:rsid w:val="00CB1F90"/>
    <w:rsid w:val="00CB449D"/>
    <w:rsid w:val="00CC4E3A"/>
    <w:rsid w:val="00CD00A5"/>
    <w:rsid w:val="00CD764C"/>
    <w:rsid w:val="00CE7758"/>
    <w:rsid w:val="00D13D21"/>
    <w:rsid w:val="00D142A1"/>
    <w:rsid w:val="00D1473D"/>
    <w:rsid w:val="00D20244"/>
    <w:rsid w:val="00D2325A"/>
    <w:rsid w:val="00D25048"/>
    <w:rsid w:val="00D25E72"/>
    <w:rsid w:val="00D339C0"/>
    <w:rsid w:val="00D33B5A"/>
    <w:rsid w:val="00D3697F"/>
    <w:rsid w:val="00D421D6"/>
    <w:rsid w:val="00D450EC"/>
    <w:rsid w:val="00D551C4"/>
    <w:rsid w:val="00D55EAB"/>
    <w:rsid w:val="00D61966"/>
    <w:rsid w:val="00D65F3C"/>
    <w:rsid w:val="00D6674F"/>
    <w:rsid w:val="00D81808"/>
    <w:rsid w:val="00D826DB"/>
    <w:rsid w:val="00D861CA"/>
    <w:rsid w:val="00D90A58"/>
    <w:rsid w:val="00D91DCD"/>
    <w:rsid w:val="00D93277"/>
    <w:rsid w:val="00D95DD1"/>
    <w:rsid w:val="00DA0757"/>
    <w:rsid w:val="00DA7EB5"/>
    <w:rsid w:val="00DB0445"/>
    <w:rsid w:val="00DB3258"/>
    <w:rsid w:val="00DB360C"/>
    <w:rsid w:val="00DC10B3"/>
    <w:rsid w:val="00DC12B7"/>
    <w:rsid w:val="00DC1EE9"/>
    <w:rsid w:val="00DC2919"/>
    <w:rsid w:val="00DC6068"/>
    <w:rsid w:val="00DD2DBB"/>
    <w:rsid w:val="00DD3166"/>
    <w:rsid w:val="00DD3B02"/>
    <w:rsid w:val="00DD4271"/>
    <w:rsid w:val="00DD79B5"/>
    <w:rsid w:val="00DE4590"/>
    <w:rsid w:val="00DF14EC"/>
    <w:rsid w:val="00DF3DF7"/>
    <w:rsid w:val="00E0089B"/>
    <w:rsid w:val="00E067FA"/>
    <w:rsid w:val="00E151EF"/>
    <w:rsid w:val="00E2687E"/>
    <w:rsid w:val="00E30A93"/>
    <w:rsid w:val="00E30D4F"/>
    <w:rsid w:val="00E43FF9"/>
    <w:rsid w:val="00E44934"/>
    <w:rsid w:val="00E4716C"/>
    <w:rsid w:val="00E512C8"/>
    <w:rsid w:val="00E52D28"/>
    <w:rsid w:val="00E52D2C"/>
    <w:rsid w:val="00E56819"/>
    <w:rsid w:val="00E65E76"/>
    <w:rsid w:val="00E7346C"/>
    <w:rsid w:val="00E74A12"/>
    <w:rsid w:val="00E7676A"/>
    <w:rsid w:val="00E8091E"/>
    <w:rsid w:val="00E849F3"/>
    <w:rsid w:val="00E86AF1"/>
    <w:rsid w:val="00E86E43"/>
    <w:rsid w:val="00E91738"/>
    <w:rsid w:val="00E97D85"/>
    <w:rsid w:val="00EA340D"/>
    <w:rsid w:val="00ED4E36"/>
    <w:rsid w:val="00ED5BFA"/>
    <w:rsid w:val="00ED6E2A"/>
    <w:rsid w:val="00EE38DE"/>
    <w:rsid w:val="00F16B88"/>
    <w:rsid w:val="00F16B96"/>
    <w:rsid w:val="00F1731B"/>
    <w:rsid w:val="00F173E4"/>
    <w:rsid w:val="00F21FB6"/>
    <w:rsid w:val="00F26464"/>
    <w:rsid w:val="00F31CA9"/>
    <w:rsid w:val="00F42752"/>
    <w:rsid w:val="00F468ED"/>
    <w:rsid w:val="00F47DBD"/>
    <w:rsid w:val="00F50A12"/>
    <w:rsid w:val="00F52556"/>
    <w:rsid w:val="00F5392C"/>
    <w:rsid w:val="00F62AA7"/>
    <w:rsid w:val="00F70675"/>
    <w:rsid w:val="00F73AC4"/>
    <w:rsid w:val="00F763CD"/>
    <w:rsid w:val="00F83F3A"/>
    <w:rsid w:val="00F95BDB"/>
    <w:rsid w:val="00FA20FA"/>
    <w:rsid w:val="00FB41DA"/>
    <w:rsid w:val="00FB4F96"/>
    <w:rsid w:val="00FB7623"/>
    <w:rsid w:val="00FC2081"/>
    <w:rsid w:val="00FC626B"/>
    <w:rsid w:val="00FD5818"/>
    <w:rsid w:val="00FE2A25"/>
    <w:rsid w:val="00FE5990"/>
    <w:rsid w:val="00FF6335"/>
    <w:rsid w:val="00FF7DAB"/>
    <w:rsid w:val="09C90C6F"/>
    <w:rsid w:val="1186327C"/>
    <w:rsid w:val="11D76497"/>
    <w:rsid w:val="125915AF"/>
    <w:rsid w:val="13031EE2"/>
    <w:rsid w:val="15A04733"/>
    <w:rsid w:val="19F70533"/>
    <w:rsid w:val="1C1F74C1"/>
    <w:rsid w:val="1C26797A"/>
    <w:rsid w:val="206E3FD0"/>
    <w:rsid w:val="28E22D00"/>
    <w:rsid w:val="2FB77D36"/>
    <w:rsid w:val="31406938"/>
    <w:rsid w:val="322114B8"/>
    <w:rsid w:val="40247CFB"/>
    <w:rsid w:val="42043D73"/>
    <w:rsid w:val="4CDD1B4A"/>
    <w:rsid w:val="4D4E5B56"/>
    <w:rsid w:val="4D940580"/>
    <w:rsid w:val="4EAC3805"/>
    <w:rsid w:val="53C8167E"/>
    <w:rsid w:val="53EF5887"/>
    <w:rsid w:val="55743C09"/>
    <w:rsid w:val="56E968A5"/>
    <w:rsid w:val="5BFA1F3B"/>
    <w:rsid w:val="5CBF5806"/>
    <w:rsid w:val="616645C9"/>
    <w:rsid w:val="67615645"/>
    <w:rsid w:val="6B8A5E65"/>
    <w:rsid w:val="70834D0F"/>
    <w:rsid w:val="72181909"/>
    <w:rsid w:val="727437F3"/>
    <w:rsid w:val="73DC6546"/>
    <w:rsid w:val="74B623C9"/>
    <w:rsid w:val="7807596F"/>
    <w:rsid w:val="78780A52"/>
    <w:rsid w:val="7E1C3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4">
    <w:name w:val="heading 1"/>
    <w:basedOn w:val="1"/>
    <w:next w:val="1"/>
    <w:link w:val="47"/>
    <w:qFormat/>
    <w:uiPriority w:val="0"/>
    <w:pPr>
      <w:keepNext/>
      <w:keepLines/>
      <w:numPr>
        <w:ilvl w:val="0"/>
        <w:numId w:val="1"/>
      </w:numPr>
      <w:spacing w:before="340" w:after="330" w:line="578" w:lineRule="auto"/>
      <w:jc w:val="left"/>
      <w:outlineLvl w:val="0"/>
    </w:pPr>
    <w:rPr>
      <w:rFonts w:eastAsia="黑体"/>
      <w:b/>
      <w:bCs/>
      <w:kern w:val="44"/>
      <w:sz w:val="44"/>
      <w:szCs w:val="44"/>
    </w:rPr>
  </w:style>
  <w:style w:type="paragraph" w:styleId="5">
    <w:name w:val="heading 2"/>
    <w:basedOn w:val="1"/>
    <w:next w:val="1"/>
    <w:link w:val="48"/>
    <w:qFormat/>
    <w:uiPriority w:val="0"/>
    <w:pPr>
      <w:keepNext/>
      <w:keepLines/>
      <w:numPr>
        <w:ilvl w:val="1"/>
        <w:numId w:val="1"/>
      </w:numPr>
      <w:tabs>
        <w:tab w:val="left" w:pos="28"/>
      </w:tabs>
      <w:spacing w:before="260" w:after="260" w:line="416" w:lineRule="auto"/>
      <w:outlineLvl w:val="1"/>
    </w:pPr>
    <w:rPr>
      <w:rFonts w:ascii="Arial" w:hAnsi="Arial" w:eastAsia="仿宋_GB2312"/>
      <w:b/>
      <w:bCs/>
      <w:sz w:val="32"/>
      <w:szCs w:val="32"/>
    </w:rPr>
  </w:style>
  <w:style w:type="paragraph" w:styleId="6">
    <w:name w:val="heading 3"/>
    <w:basedOn w:val="1"/>
    <w:next w:val="1"/>
    <w:link w:val="49"/>
    <w:uiPriority w:val="0"/>
    <w:pPr>
      <w:keepNext/>
      <w:keepLines/>
      <w:numPr>
        <w:ilvl w:val="2"/>
        <w:numId w:val="1"/>
      </w:numPr>
      <w:tabs>
        <w:tab w:val="left" w:pos="28"/>
      </w:tabs>
      <w:spacing w:before="260" w:after="260" w:line="416" w:lineRule="auto"/>
      <w:outlineLvl w:val="2"/>
    </w:pPr>
    <w:rPr>
      <w:b/>
      <w:bCs/>
      <w:sz w:val="32"/>
      <w:szCs w:val="32"/>
    </w:rPr>
  </w:style>
  <w:style w:type="paragraph" w:styleId="7">
    <w:name w:val="heading 4"/>
    <w:basedOn w:val="1"/>
    <w:next w:val="1"/>
    <w:link w:val="50"/>
    <w:uiPriority w:val="0"/>
    <w:pPr>
      <w:keepNext/>
      <w:keepLines/>
      <w:spacing w:before="280" w:after="290" w:line="376" w:lineRule="auto"/>
      <w:outlineLvl w:val="3"/>
    </w:pPr>
    <w:rPr>
      <w:rFonts w:ascii="Arial" w:hAnsi="Arial" w:eastAsia="黑体"/>
      <w:b/>
      <w:bCs/>
      <w:kern w:val="0"/>
      <w:sz w:val="28"/>
      <w:szCs w:val="28"/>
    </w:rPr>
  </w:style>
  <w:style w:type="paragraph" w:styleId="8">
    <w:name w:val="heading 5"/>
    <w:basedOn w:val="1"/>
    <w:next w:val="1"/>
    <w:link w:val="51"/>
    <w:qFormat/>
    <w:uiPriority w:val="0"/>
    <w:pPr>
      <w:keepNext/>
      <w:keepLines/>
      <w:spacing w:line="480" w:lineRule="atLeast"/>
      <w:ind w:firstLine="200" w:firstLineChars="200"/>
      <w:outlineLvl w:val="4"/>
    </w:pPr>
    <w:rPr>
      <w:b/>
      <w:bCs/>
      <w:kern w:val="0"/>
      <w:sz w:val="28"/>
      <w:szCs w:val="28"/>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2">
    <w:name w:val="annotation text"/>
    <w:basedOn w:val="1"/>
    <w:next w:val="3"/>
    <w:link w:val="29"/>
    <w:qFormat/>
    <w:uiPriority w:val="0"/>
    <w:pPr>
      <w:adjustRightInd w:val="0"/>
      <w:snapToGrid w:val="0"/>
      <w:spacing w:line="360" w:lineRule="auto"/>
      <w:jc w:val="left"/>
    </w:pPr>
    <w:rPr>
      <w:sz w:val="24"/>
      <w:szCs w:val="24"/>
    </w:rPr>
  </w:style>
  <w:style w:type="paragraph" w:styleId="3">
    <w:name w:val="Balloon Text"/>
    <w:basedOn w:val="1"/>
    <w:link w:val="60"/>
    <w:qFormat/>
    <w:uiPriority w:val="0"/>
    <w:rPr>
      <w:sz w:val="24"/>
      <w:szCs w:val="2"/>
    </w:rPr>
  </w:style>
  <w:style w:type="paragraph" w:styleId="9">
    <w:name w:val="toc 7"/>
    <w:basedOn w:val="1"/>
    <w:next w:val="1"/>
    <w:uiPriority w:val="0"/>
    <w:pPr>
      <w:ind w:left="2520" w:leftChars="1200"/>
    </w:pPr>
  </w:style>
  <w:style w:type="paragraph" w:styleId="10">
    <w:name w:val="Body Text"/>
    <w:basedOn w:val="1"/>
    <w:link w:val="52"/>
    <w:qFormat/>
    <w:uiPriority w:val="0"/>
    <w:pPr>
      <w:spacing w:before="120" w:line="240" w:lineRule="atLeast"/>
    </w:pPr>
    <w:rPr>
      <w:rFonts w:eastAsia="黑体"/>
      <w:kern w:val="0"/>
      <w:sz w:val="20"/>
      <w:szCs w:val="20"/>
    </w:rPr>
  </w:style>
  <w:style w:type="paragraph" w:styleId="11">
    <w:name w:val="toc 5"/>
    <w:basedOn w:val="1"/>
    <w:next w:val="1"/>
    <w:qFormat/>
    <w:uiPriority w:val="0"/>
    <w:pPr>
      <w:ind w:left="1680" w:leftChars="800"/>
    </w:pPr>
  </w:style>
  <w:style w:type="paragraph" w:styleId="12">
    <w:name w:val="toc 3"/>
    <w:basedOn w:val="1"/>
    <w:next w:val="1"/>
    <w:qFormat/>
    <w:uiPriority w:val="39"/>
    <w:pPr>
      <w:tabs>
        <w:tab w:val="left" w:pos="1200"/>
        <w:tab w:val="right" w:leader="dot" w:pos="9628"/>
      </w:tabs>
      <w:ind w:left="840" w:leftChars="400"/>
    </w:pPr>
    <w:rPr>
      <w:b/>
      <w:bCs/>
    </w:rPr>
  </w:style>
  <w:style w:type="paragraph" w:styleId="13">
    <w:name w:val="toc 8"/>
    <w:basedOn w:val="1"/>
    <w:next w:val="1"/>
    <w:uiPriority w:val="0"/>
    <w:pPr>
      <w:ind w:left="2940" w:leftChars="1400"/>
    </w:pPr>
  </w:style>
  <w:style w:type="paragraph" w:styleId="14">
    <w:name w:val="footer"/>
    <w:basedOn w:val="1"/>
    <w:link w:val="53"/>
    <w:qFormat/>
    <w:uiPriority w:val="0"/>
    <w:pPr>
      <w:tabs>
        <w:tab w:val="center" w:pos="4153"/>
        <w:tab w:val="right" w:pos="8306"/>
      </w:tabs>
      <w:snapToGrid w:val="0"/>
      <w:jc w:val="left"/>
    </w:pPr>
    <w:rPr>
      <w:kern w:val="0"/>
      <w:sz w:val="20"/>
      <w:szCs w:val="20"/>
    </w:rPr>
  </w:style>
  <w:style w:type="paragraph" w:styleId="15">
    <w:name w:val="header"/>
    <w:basedOn w:val="1"/>
    <w:link w:val="54"/>
    <w:qFormat/>
    <w:uiPriority w:val="0"/>
    <w:pPr>
      <w:pBdr>
        <w:bottom w:val="single" w:color="auto" w:sz="6" w:space="1"/>
      </w:pBdr>
      <w:tabs>
        <w:tab w:val="center" w:pos="4153"/>
        <w:tab w:val="right" w:pos="8306"/>
      </w:tabs>
      <w:snapToGrid w:val="0"/>
      <w:jc w:val="center"/>
    </w:pPr>
    <w:rPr>
      <w:kern w:val="0"/>
      <w:sz w:val="20"/>
      <w:szCs w:val="20"/>
    </w:rPr>
  </w:style>
  <w:style w:type="paragraph" w:styleId="16">
    <w:name w:val="toc 1"/>
    <w:basedOn w:val="1"/>
    <w:next w:val="1"/>
    <w:qFormat/>
    <w:uiPriority w:val="39"/>
    <w:pPr>
      <w:tabs>
        <w:tab w:val="right" w:leader="dot" w:pos="9628"/>
      </w:tabs>
    </w:pPr>
    <w:rPr>
      <w:b/>
      <w:bCs/>
      <w:spacing w:val="20"/>
    </w:rPr>
  </w:style>
  <w:style w:type="paragraph" w:styleId="17">
    <w:name w:val="toc 4"/>
    <w:basedOn w:val="1"/>
    <w:next w:val="1"/>
    <w:qFormat/>
    <w:uiPriority w:val="0"/>
    <w:pPr>
      <w:ind w:left="1260" w:leftChars="600"/>
    </w:pPr>
  </w:style>
  <w:style w:type="paragraph" w:styleId="18">
    <w:name w:val="toc 6"/>
    <w:basedOn w:val="1"/>
    <w:next w:val="1"/>
    <w:uiPriority w:val="0"/>
    <w:pPr>
      <w:ind w:left="2100" w:leftChars="1000"/>
    </w:pPr>
  </w:style>
  <w:style w:type="paragraph" w:styleId="19">
    <w:name w:val="toc 2"/>
    <w:basedOn w:val="1"/>
    <w:next w:val="1"/>
    <w:qFormat/>
    <w:uiPriority w:val="39"/>
    <w:pPr>
      <w:ind w:left="420" w:leftChars="200"/>
    </w:pPr>
  </w:style>
  <w:style w:type="paragraph" w:styleId="20">
    <w:name w:val="toc 9"/>
    <w:basedOn w:val="1"/>
    <w:next w:val="1"/>
    <w:qFormat/>
    <w:uiPriority w:val="0"/>
    <w:pPr>
      <w:ind w:left="3360" w:leftChars="1600"/>
    </w:pPr>
  </w:style>
  <w:style w:type="paragraph" w:styleId="21">
    <w:name w:val="annotation subject"/>
    <w:basedOn w:val="2"/>
    <w:next w:val="2"/>
    <w:link w:val="66"/>
    <w:semiHidden/>
    <w:unhideWhenUsed/>
    <w:qFormat/>
    <w:uiPriority w:val="99"/>
    <w:rPr>
      <w:b/>
      <w:bCs/>
      <w:sz w:val="21"/>
      <w:szCs w:val="21"/>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Hyperlink"/>
    <w:qFormat/>
    <w:uiPriority w:val="99"/>
    <w:rPr>
      <w:color w:val="0000FF"/>
      <w:u w:val="single"/>
    </w:rPr>
  </w:style>
  <w:style w:type="character" w:styleId="26">
    <w:name w:val="annotation reference"/>
    <w:semiHidden/>
    <w:unhideWhenUsed/>
    <w:qFormat/>
    <w:uiPriority w:val="99"/>
    <w:rPr>
      <w:sz w:val="21"/>
      <w:szCs w:val="21"/>
    </w:rPr>
  </w:style>
  <w:style w:type="character" w:customStyle="1" w:styleId="27">
    <w:name w:val="批注主题 Char"/>
    <w:link w:val="28"/>
    <w:semiHidden/>
    <w:qFormat/>
    <w:uiPriority w:val="0"/>
    <w:rPr>
      <w:rFonts w:ascii="Times New Roman" w:hAnsi="Times New Roman" w:eastAsia="宋体" w:cs="Times New Roman"/>
      <w:b/>
      <w:bCs/>
      <w:sz w:val="20"/>
      <w:szCs w:val="20"/>
    </w:rPr>
  </w:style>
  <w:style w:type="paragraph" w:customStyle="1" w:styleId="28">
    <w:name w:val="批注主题1"/>
    <w:basedOn w:val="2"/>
    <w:next w:val="2"/>
    <w:link w:val="27"/>
    <w:qFormat/>
    <w:uiPriority w:val="0"/>
    <w:rPr>
      <w:b/>
      <w:bCs/>
      <w:kern w:val="0"/>
      <w:sz w:val="20"/>
      <w:szCs w:val="20"/>
    </w:rPr>
  </w:style>
  <w:style w:type="character" w:customStyle="1" w:styleId="29">
    <w:name w:val="批注文字 Char"/>
    <w:link w:val="2"/>
    <w:qFormat/>
    <w:uiPriority w:val="0"/>
    <w:rPr>
      <w:rFonts w:ascii="Times New Roman" w:hAnsi="Times New Roman" w:cs="Times New Roman"/>
      <w:kern w:val="2"/>
      <w:sz w:val="24"/>
      <w:szCs w:val="24"/>
    </w:rPr>
  </w:style>
  <w:style w:type="character" w:customStyle="1" w:styleId="30">
    <w:name w:val="正文文本缩进 Char"/>
    <w:link w:val="31"/>
    <w:semiHidden/>
    <w:qFormat/>
    <w:uiPriority w:val="0"/>
    <w:rPr>
      <w:rFonts w:ascii="宋体" w:hAnsi="Times New Roman" w:eastAsia="宋体" w:cs="宋体"/>
      <w:b/>
      <w:bCs/>
      <w:sz w:val="20"/>
      <w:szCs w:val="20"/>
    </w:rPr>
  </w:style>
  <w:style w:type="paragraph" w:customStyle="1" w:styleId="31">
    <w:name w:val="正文文本缩进1"/>
    <w:basedOn w:val="1"/>
    <w:link w:val="30"/>
    <w:qFormat/>
    <w:uiPriority w:val="0"/>
    <w:pPr>
      <w:ind w:firstLine="480"/>
    </w:pPr>
    <w:rPr>
      <w:rFonts w:ascii="宋体"/>
      <w:b/>
      <w:bCs/>
      <w:kern w:val="0"/>
      <w:sz w:val="20"/>
      <w:szCs w:val="20"/>
    </w:rPr>
  </w:style>
  <w:style w:type="character" w:customStyle="1" w:styleId="32">
    <w:name w:val="日期 Char"/>
    <w:link w:val="33"/>
    <w:semiHidden/>
    <w:uiPriority w:val="0"/>
    <w:rPr>
      <w:rFonts w:ascii="Times New Roman" w:hAnsi="Times New Roman" w:eastAsia="宋体" w:cs="Times New Roman"/>
      <w:sz w:val="20"/>
      <w:szCs w:val="20"/>
    </w:rPr>
  </w:style>
  <w:style w:type="paragraph" w:customStyle="1" w:styleId="33">
    <w:name w:val="日期1"/>
    <w:basedOn w:val="1"/>
    <w:next w:val="1"/>
    <w:link w:val="32"/>
    <w:qFormat/>
    <w:uiPriority w:val="0"/>
    <w:rPr>
      <w:kern w:val="0"/>
      <w:sz w:val="20"/>
      <w:szCs w:val="20"/>
    </w:rPr>
  </w:style>
  <w:style w:type="character" w:customStyle="1" w:styleId="34">
    <w:name w:val="正文文本缩进 2 Char"/>
    <w:link w:val="35"/>
    <w:semiHidden/>
    <w:qFormat/>
    <w:uiPriority w:val="0"/>
    <w:rPr>
      <w:rFonts w:ascii="宋体" w:hAnsi="Times New Roman" w:eastAsia="宋体" w:cs="宋体"/>
      <w:b/>
      <w:bCs/>
      <w:sz w:val="20"/>
      <w:szCs w:val="20"/>
    </w:rPr>
  </w:style>
  <w:style w:type="paragraph" w:customStyle="1" w:styleId="35">
    <w:name w:val="正文文本缩进 21"/>
    <w:basedOn w:val="1"/>
    <w:link w:val="34"/>
    <w:qFormat/>
    <w:uiPriority w:val="0"/>
    <w:pPr>
      <w:spacing w:before="120" w:line="240" w:lineRule="atLeast"/>
      <w:ind w:left="-105" w:firstLine="530"/>
    </w:pPr>
    <w:rPr>
      <w:rFonts w:ascii="宋体"/>
      <w:b/>
      <w:bCs/>
      <w:kern w:val="0"/>
      <w:sz w:val="20"/>
      <w:szCs w:val="20"/>
    </w:rPr>
  </w:style>
  <w:style w:type="character" w:customStyle="1" w:styleId="36">
    <w:name w:val="正文文本缩进 3 Char"/>
    <w:link w:val="37"/>
    <w:semiHidden/>
    <w:qFormat/>
    <w:uiPriority w:val="0"/>
    <w:rPr>
      <w:rFonts w:ascii="Times New Roman" w:hAnsi="Times New Roman" w:eastAsia="宋体" w:cs="Times New Roman"/>
      <w:kern w:val="0"/>
      <w:sz w:val="20"/>
      <w:szCs w:val="20"/>
    </w:rPr>
  </w:style>
  <w:style w:type="paragraph" w:customStyle="1" w:styleId="37">
    <w:name w:val="正文文本缩进 31"/>
    <w:basedOn w:val="1"/>
    <w:link w:val="36"/>
    <w:qFormat/>
    <w:uiPriority w:val="0"/>
    <w:pPr>
      <w:adjustRightInd w:val="0"/>
      <w:spacing w:line="312" w:lineRule="atLeast"/>
      <w:ind w:firstLine="480"/>
      <w:textAlignment w:val="baseline"/>
    </w:pPr>
    <w:rPr>
      <w:kern w:val="0"/>
      <w:sz w:val="20"/>
      <w:szCs w:val="20"/>
    </w:rPr>
  </w:style>
  <w:style w:type="paragraph" w:customStyle="1" w:styleId="38">
    <w:name w:val="批注框文本 Char Char"/>
    <w:basedOn w:val="1"/>
    <w:link w:val="55"/>
    <w:qFormat/>
    <w:uiPriority w:val="0"/>
    <w:rPr>
      <w:kern w:val="0"/>
      <w:sz w:val="18"/>
      <w:szCs w:val="18"/>
    </w:rPr>
  </w:style>
  <w:style w:type="paragraph" w:customStyle="1" w:styleId="39">
    <w:name w:val="正文：首行缩进:  0.99 厘米"/>
    <w:basedOn w:val="1"/>
    <w:qFormat/>
    <w:uiPriority w:val="0"/>
    <w:pPr>
      <w:spacing w:line="360" w:lineRule="auto"/>
      <w:ind w:firstLine="561"/>
    </w:pPr>
    <w:rPr>
      <w:rFonts w:eastAsia="仿宋_GB2312"/>
      <w:sz w:val="24"/>
      <w:szCs w:val="24"/>
    </w:rPr>
  </w:style>
  <w:style w:type="paragraph" w:customStyle="1" w:styleId="40">
    <w:name w:val="列表 31"/>
    <w:basedOn w:val="1"/>
    <w:qFormat/>
    <w:uiPriority w:val="0"/>
    <w:pPr>
      <w:ind w:left="1260" w:hanging="420"/>
    </w:pPr>
    <w:rPr>
      <w:sz w:val="24"/>
      <w:szCs w:val="24"/>
    </w:rPr>
  </w:style>
  <w:style w:type="paragraph" w:customStyle="1" w:styleId="41">
    <w:name w:val="列出段落1"/>
    <w:basedOn w:val="1"/>
    <w:qFormat/>
    <w:uiPriority w:val="0"/>
    <w:pPr>
      <w:ind w:firstLine="420" w:firstLineChars="200"/>
    </w:pPr>
  </w:style>
  <w:style w:type="paragraph" w:customStyle="1" w:styleId="42">
    <w:name w:val="修订1"/>
    <w:qFormat/>
    <w:uiPriority w:val="0"/>
    <w:rPr>
      <w:rFonts w:ascii="Times New Roman" w:hAnsi="Times New Roman" w:eastAsia="宋体" w:cs="Times New Roman"/>
      <w:lang w:val="en-US" w:eastAsia="zh-CN" w:bidi="ar-SA"/>
    </w:rPr>
  </w:style>
  <w:style w:type="paragraph" w:customStyle="1" w:styleId="4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4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45">
    <w:name w:val="批注主题2"/>
    <w:basedOn w:val="2"/>
    <w:next w:val="2"/>
    <w:link w:val="59"/>
    <w:qFormat/>
    <w:uiPriority w:val="0"/>
    <w:rPr>
      <w:b/>
      <w:bCs/>
      <w:kern w:val="0"/>
      <w:sz w:val="21"/>
      <w:szCs w:val="21"/>
    </w:rPr>
  </w:style>
  <w:style w:type="paragraph" w:customStyle="1" w:styleId="46">
    <w:name w:val="日期2"/>
    <w:basedOn w:val="1"/>
    <w:next w:val="1"/>
    <w:link w:val="63"/>
    <w:qFormat/>
    <w:uiPriority w:val="0"/>
    <w:pPr>
      <w:ind w:left="100" w:leftChars="2500"/>
    </w:pPr>
    <w:rPr>
      <w:kern w:val="0"/>
    </w:rPr>
  </w:style>
  <w:style w:type="character" w:customStyle="1" w:styleId="47">
    <w:name w:val="标题 1 Char"/>
    <w:link w:val="4"/>
    <w:qFormat/>
    <w:uiPriority w:val="0"/>
    <w:rPr>
      <w:rFonts w:ascii="Times New Roman" w:hAnsi="Times New Roman" w:eastAsia="黑体" w:cs="Times New Roman"/>
      <w:b/>
      <w:bCs/>
      <w:kern w:val="44"/>
      <w:sz w:val="44"/>
      <w:szCs w:val="44"/>
    </w:rPr>
  </w:style>
  <w:style w:type="character" w:customStyle="1" w:styleId="48">
    <w:name w:val="标题 2 Char"/>
    <w:link w:val="5"/>
    <w:qFormat/>
    <w:uiPriority w:val="0"/>
    <w:rPr>
      <w:rFonts w:ascii="Arial" w:hAnsi="Arial" w:eastAsia="仿宋_GB2312" w:cs="Times New Roman"/>
      <w:b/>
      <w:bCs/>
      <w:kern w:val="2"/>
      <w:sz w:val="32"/>
      <w:szCs w:val="32"/>
    </w:rPr>
  </w:style>
  <w:style w:type="character" w:customStyle="1" w:styleId="49">
    <w:name w:val="标题 3 Char"/>
    <w:link w:val="6"/>
    <w:qFormat/>
    <w:uiPriority w:val="0"/>
    <w:rPr>
      <w:rFonts w:ascii="Times New Roman" w:hAnsi="Times New Roman" w:cs="Times New Roman"/>
      <w:b/>
      <w:bCs/>
      <w:kern w:val="2"/>
      <w:sz w:val="32"/>
      <w:szCs w:val="32"/>
    </w:rPr>
  </w:style>
  <w:style w:type="character" w:customStyle="1" w:styleId="50">
    <w:name w:val="标题 4 Char"/>
    <w:link w:val="7"/>
    <w:semiHidden/>
    <w:qFormat/>
    <w:uiPriority w:val="0"/>
    <w:rPr>
      <w:rFonts w:ascii="Arial" w:hAnsi="Arial" w:eastAsia="黑体" w:cs="Arial"/>
      <w:b/>
      <w:bCs/>
      <w:sz w:val="28"/>
      <w:szCs w:val="28"/>
    </w:rPr>
  </w:style>
  <w:style w:type="character" w:customStyle="1" w:styleId="51">
    <w:name w:val="标题 5 Char"/>
    <w:link w:val="8"/>
    <w:semiHidden/>
    <w:qFormat/>
    <w:uiPriority w:val="0"/>
    <w:rPr>
      <w:rFonts w:ascii="Times New Roman" w:hAnsi="Times New Roman" w:eastAsia="宋体" w:cs="Times New Roman"/>
      <w:b/>
      <w:bCs/>
      <w:sz w:val="28"/>
      <w:szCs w:val="28"/>
    </w:rPr>
  </w:style>
  <w:style w:type="character" w:customStyle="1" w:styleId="52">
    <w:name w:val="正文文本 Char"/>
    <w:link w:val="10"/>
    <w:semiHidden/>
    <w:qFormat/>
    <w:uiPriority w:val="0"/>
    <w:rPr>
      <w:rFonts w:ascii="Times New Roman" w:hAnsi="Times New Roman" w:eastAsia="黑体" w:cs="Times New Roman"/>
      <w:sz w:val="20"/>
      <w:szCs w:val="20"/>
    </w:rPr>
  </w:style>
  <w:style w:type="character" w:customStyle="1" w:styleId="53">
    <w:name w:val="页脚 Char"/>
    <w:link w:val="14"/>
    <w:semiHidden/>
    <w:qFormat/>
    <w:uiPriority w:val="0"/>
    <w:rPr>
      <w:rFonts w:ascii="Times New Roman" w:hAnsi="Times New Roman" w:eastAsia="宋体" w:cs="Times New Roman"/>
      <w:sz w:val="20"/>
      <w:szCs w:val="20"/>
    </w:rPr>
  </w:style>
  <w:style w:type="character" w:customStyle="1" w:styleId="54">
    <w:name w:val="页眉 Char"/>
    <w:link w:val="15"/>
    <w:semiHidden/>
    <w:uiPriority w:val="0"/>
    <w:rPr>
      <w:rFonts w:ascii="Times New Roman" w:hAnsi="Times New Roman" w:eastAsia="宋体" w:cs="Times New Roman"/>
      <w:sz w:val="20"/>
      <w:szCs w:val="20"/>
    </w:rPr>
  </w:style>
  <w:style w:type="character" w:customStyle="1" w:styleId="55">
    <w:name w:val="批注框文本 Char Char Char Char"/>
    <w:link w:val="38"/>
    <w:semiHidden/>
    <w:qFormat/>
    <w:uiPriority w:val="0"/>
    <w:rPr>
      <w:rFonts w:ascii="Times New Roman" w:hAnsi="Times New Roman" w:eastAsia="宋体" w:cs="Times New Roman"/>
      <w:sz w:val="18"/>
      <w:szCs w:val="18"/>
    </w:rPr>
  </w:style>
  <w:style w:type="character" w:customStyle="1" w:styleId="56">
    <w:name w:val="页码1"/>
    <w:basedOn w:val="24"/>
    <w:qFormat/>
    <w:uiPriority w:val="0"/>
  </w:style>
  <w:style w:type="character" w:customStyle="1" w:styleId="57">
    <w:name w:val="批注引用1"/>
    <w:qFormat/>
    <w:uiPriority w:val="0"/>
    <w:rPr>
      <w:sz w:val="21"/>
      <w:szCs w:val="21"/>
    </w:rPr>
  </w:style>
  <w:style w:type="character" w:customStyle="1" w:styleId="58">
    <w:name w:val="批注引用2"/>
    <w:qFormat/>
    <w:uiPriority w:val="0"/>
    <w:rPr>
      <w:sz w:val="21"/>
      <w:szCs w:val="21"/>
    </w:rPr>
  </w:style>
  <w:style w:type="character" w:customStyle="1" w:styleId="59">
    <w:name w:val="Comment Subject Char"/>
    <w:link w:val="45"/>
    <w:semiHidden/>
    <w:qFormat/>
    <w:uiPriority w:val="0"/>
    <w:rPr>
      <w:rFonts w:ascii="Times New Roman" w:hAnsi="Times New Roman" w:eastAsia="宋体" w:cs="Times New Roman"/>
      <w:b/>
      <w:bCs/>
      <w:sz w:val="21"/>
      <w:szCs w:val="21"/>
    </w:rPr>
  </w:style>
  <w:style w:type="character" w:customStyle="1" w:styleId="60">
    <w:name w:val="批注框文本 Char"/>
    <w:link w:val="3"/>
    <w:qFormat/>
    <w:uiPriority w:val="0"/>
    <w:rPr>
      <w:rFonts w:ascii="Times New Roman" w:hAnsi="Times New Roman" w:cs="Times New Roman"/>
      <w:kern w:val="2"/>
      <w:sz w:val="24"/>
      <w:szCs w:val="2"/>
    </w:rPr>
  </w:style>
  <w:style w:type="character" w:customStyle="1" w:styleId="61">
    <w:name w:val="Char Char8"/>
    <w:qFormat/>
    <w:uiPriority w:val="0"/>
    <w:rPr>
      <w:rFonts w:ascii="Times New Roman" w:hAnsi="Times New Roman" w:eastAsia="宋体" w:cs="Times New Roman"/>
      <w:b/>
      <w:bCs/>
      <w:sz w:val="32"/>
      <w:szCs w:val="32"/>
    </w:rPr>
  </w:style>
  <w:style w:type="character" w:customStyle="1" w:styleId="62">
    <w:name w:val="Char Char5"/>
    <w:qFormat/>
    <w:uiPriority w:val="0"/>
    <w:rPr>
      <w:rFonts w:ascii="Times New Roman" w:hAnsi="Times New Roman" w:eastAsia="宋体" w:cs="Times New Roman"/>
      <w:sz w:val="20"/>
      <w:szCs w:val="20"/>
    </w:rPr>
  </w:style>
  <w:style w:type="character" w:customStyle="1" w:styleId="63">
    <w:name w:val="Date Char Char"/>
    <w:link w:val="46"/>
    <w:semiHidden/>
    <w:qFormat/>
    <w:uiPriority w:val="0"/>
    <w:rPr>
      <w:rFonts w:ascii="Times New Roman" w:hAnsi="Times New Roman" w:cs="Times New Roman"/>
      <w:sz w:val="21"/>
      <w:szCs w:val="21"/>
    </w:rPr>
  </w:style>
  <w:style w:type="paragraph" w:customStyle="1" w:styleId="64">
    <w:name w:val="p0"/>
    <w:basedOn w:val="1"/>
    <w:qFormat/>
    <w:uiPriority w:val="0"/>
    <w:pPr>
      <w:widowControl/>
    </w:pPr>
    <w:rPr>
      <w:kern w:val="0"/>
    </w:rPr>
  </w:style>
  <w:style w:type="paragraph" w:customStyle="1" w:styleId="65">
    <w:name w:val="修订2"/>
    <w:hidden/>
    <w:semiHidden/>
    <w:qFormat/>
    <w:uiPriority w:val="99"/>
    <w:rPr>
      <w:rFonts w:ascii="Times New Roman" w:hAnsi="Times New Roman" w:eastAsia="宋体" w:cs="Times New Roman"/>
      <w:kern w:val="2"/>
      <w:sz w:val="21"/>
      <w:szCs w:val="21"/>
      <w:lang w:val="en-US" w:eastAsia="zh-CN" w:bidi="ar-SA"/>
    </w:rPr>
  </w:style>
  <w:style w:type="character" w:customStyle="1" w:styleId="66">
    <w:name w:val="批注主题 Char1"/>
    <w:link w:val="21"/>
    <w:semiHidden/>
    <w:qFormat/>
    <w:uiPriority w:val="99"/>
    <w:rPr>
      <w:rFonts w:ascii="Times New Roman" w:hAnsi="Times New Roman" w:eastAsia="宋体" w:cs="Times New Roman"/>
      <w:b/>
      <w:bCs/>
      <w:kern w:val="2"/>
      <w:sz w:val="21"/>
      <w:szCs w:val="21"/>
    </w:rPr>
  </w:style>
  <w:style w:type="paragraph" w:styleId="6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EA001-E933-4C4F-8642-251EC5EB94BB}">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46</Pages>
  <Words>4451</Words>
  <Characters>25373</Characters>
  <Lines>211</Lines>
  <Paragraphs>59</Paragraphs>
  <TotalTime>328</TotalTime>
  <ScaleCrop>false</ScaleCrop>
  <LinksUpToDate>false</LinksUpToDate>
  <CharactersWithSpaces>29765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2021-01-26T13:13:00Z</dcterms:created>
  <dc:creator>wjc</dc:creator>
  <cp:lastModifiedBy>王威威</cp:lastModifiedBy>
  <cp:lastPrinted>2013-12-18T12:31:00Z</cp:lastPrinted>
  <dcterms:modified xsi:type="dcterms:W3CDTF">2023-10-12T14:32:19Z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AD76F84E08144ED5A0E3FEA05692F8DF_13</vt:lpwstr>
  </property>
</Properties>
</file>